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E637B8" w14:textId="77777777" w:rsidR="004D0443" w:rsidRDefault="004D0443">
      <w:pPr>
        <w:pStyle w:val="Ttulo1"/>
        <w:jc w:val="left"/>
      </w:pPr>
    </w:p>
    <w:p w14:paraId="1CE637B9" w14:textId="77777777" w:rsidR="004D0443" w:rsidRDefault="00DA3067">
      <w:pPr>
        <w:pStyle w:val="Ttulo1"/>
        <w:jc w:val="left"/>
        <w:rPr>
          <w:sz w:val="22"/>
          <w:szCs w:val="22"/>
        </w:rPr>
      </w:pPr>
      <w:r>
        <w:t>Bogotá D.C., 1 de enero de 2025</w:t>
      </w:r>
    </w:p>
    <w:p w14:paraId="1CE637BA" w14:textId="77777777" w:rsidR="004D0443" w:rsidRDefault="004D0443">
      <w:pPr>
        <w:rPr>
          <w:rFonts w:ascii="Times New Roman" w:eastAsia="Times New Roman" w:hAnsi="Times New Roman" w:cs="Times New Roman"/>
          <w:sz w:val="22"/>
          <w:szCs w:val="22"/>
        </w:rPr>
      </w:pPr>
    </w:p>
    <w:p w14:paraId="1CE637BB" w14:textId="77777777" w:rsidR="004D0443" w:rsidRDefault="004D0443">
      <w:pPr>
        <w:rPr>
          <w:rFonts w:ascii="Times New Roman" w:eastAsia="Times New Roman" w:hAnsi="Times New Roman" w:cs="Times New Roman"/>
          <w:sz w:val="22"/>
          <w:szCs w:val="22"/>
        </w:rPr>
      </w:pPr>
    </w:p>
    <w:p w14:paraId="1CE637BC" w14:textId="77777777" w:rsidR="004D0443" w:rsidRDefault="004D0443">
      <w:pPr>
        <w:rPr>
          <w:rFonts w:ascii="Times New Roman" w:eastAsia="Times New Roman" w:hAnsi="Times New Roman" w:cs="Times New Roman"/>
          <w:sz w:val="22"/>
          <w:szCs w:val="22"/>
        </w:rPr>
      </w:pPr>
    </w:p>
    <w:p w14:paraId="1CE637BD" w14:textId="77777777" w:rsidR="004D0443" w:rsidRDefault="00DA3067">
      <w:pPr>
        <w:rPr>
          <w:rFonts w:ascii="Times New Roman" w:eastAsia="Times New Roman" w:hAnsi="Times New Roman" w:cs="Times New Roman"/>
          <w:b/>
          <w:sz w:val="22"/>
          <w:szCs w:val="22"/>
        </w:rPr>
      </w:pPr>
      <w:r>
        <w:rPr>
          <w:rFonts w:ascii="Times New Roman" w:eastAsia="Times New Roman" w:hAnsi="Times New Roman" w:cs="Times New Roman"/>
          <w:sz w:val="22"/>
          <w:szCs w:val="22"/>
        </w:rPr>
        <w:t>Doctora:</w:t>
      </w:r>
    </w:p>
    <w:p w14:paraId="1CE637BE" w14:textId="77777777" w:rsidR="004D0443" w:rsidRDefault="00DA3067">
      <w:pPr>
        <w:rPr>
          <w:rFonts w:ascii="Times New Roman" w:eastAsia="Times New Roman" w:hAnsi="Times New Roman" w:cs="Times New Roman"/>
          <w:b/>
          <w:sz w:val="22"/>
          <w:szCs w:val="22"/>
          <w:highlight w:val="white"/>
        </w:rPr>
      </w:pPr>
      <w:r>
        <w:rPr>
          <w:rFonts w:ascii="Times New Roman" w:eastAsia="Times New Roman" w:hAnsi="Times New Roman" w:cs="Times New Roman"/>
          <w:b/>
          <w:sz w:val="22"/>
          <w:szCs w:val="22"/>
        </w:rPr>
        <w:t>LUZ ANGÉLICA VIZCAÍNO SOLANO</w:t>
      </w:r>
      <w:r>
        <w:rPr>
          <w:rFonts w:ascii="Times New Roman" w:eastAsia="Times New Roman" w:hAnsi="Times New Roman" w:cs="Times New Roman"/>
          <w:b/>
          <w:sz w:val="22"/>
          <w:szCs w:val="22"/>
          <w:highlight w:val="white"/>
        </w:rPr>
        <w:t>.</w:t>
      </w:r>
    </w:p>
    <w:p w14:paraId="1CE637BF" w14:textId="77777777" w:rsidR="004D0443" w:rsidRDefault="00DA3067">
      <w:pPr>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Secretaria General.</w:t>
      </w:r>
    </w:p>
    <w:p w14:paraId="1CE637C0" w14:textId="77777777" w:rsidR="004D0443" w:rsidRDefault="00DA3067">
      <w:pPr>
        <w:rPr>
          <w:rFonts w:ascii="Times New Roman" w:eastAsia="Times New Roman" w:hAnsi="Times New Roman" w:cs="Times New Roman"/>
          <w:sz w:val="22"/>
          <w:szCs w:val="22"/>
          <w:highlight w:val="white"/>
        </w:rPr>
      </w:pPr>
      <w:r>
        <w:rPr>
          <w:rFonts w:ascii="Times New Roman" w:eastAsia="Times New Roman" w:hAnsi="Times New Roman" w:cs="Times New Roman"/>
          <w:sz w:val="22"/>
          <w:szCs w:val="22"/>
          <w:highlight w:val="white"/>
        </w:rPr>
        <w:t>Concejo de Bogotá D.C.</w:t>
      </w:r>
    </w:p>
    <w:p w14:paraId="1CE637C1" w14:textId="77777777" w:rsidR="004D0443" w:rsidRDefault="00DA3067">
      <w:pPr>
        <w:rPr>
          <w:rFonts w:ascii="Times New Roman" w:eastAsia="Times New Roman" w:hAnsi="Times New Roman" w:cs="Times New Roman"/>
          <w:sz w:val="22"/>
          <w:szCs w:val="22"/>
        </w:rPr>
      </w:pPr>
      <w:r>
        <w:rPr>
          <w:rFonts w:ascii="Times New Roman" w:eastAsia="Times New Roman" w:hAnsi="Times New Roman" w:cs="Times New Roman"/>
          <w:sz w:val="22"/>
          <w:szCs w:val="22"/>
        </w:rPr>
        <w:t>Ciudad.</w:t>
      </w:r>
    </w:p>
    <w:p w14:paraId="1CE637C2" w14:textId="77777777" w:rsidR="004D0443" w:rsidRDefault="004D0443">
      <w:pPr>
        <w:rPr>
          <w:rFonts w:ascii="Times New Roman" w:eastAsia="Times New Roman" w:hAnsi="Times New Roman" w:cs="Times New Roman"/>
          <w:sz w:val="22"/>
          <w:szCs w:val="22"/>
        </w:rPr>
      </w:pPr>
    </w:p>
    <w:p w14:paraId="1CE637C3" w14:textId="77777777" w:rsidR="004D0443" w:rsidRDefault="004D0443">
      <w:pPr>
        <w:rPr>
          <w:rFonts w:ascii="Times New Roman" w:eastAsia="Times New Roman" w:hAnsi="Times New Roman" w:cs="Times New Roman"/>
          <w:sz w:val="22"/>
          <w:szCs w:val="22"/>
        </w:rPr>
      </w:pPr>
    </w:p>
    <w:p w14:paraId="1CE637C4" w14:textId="77777777" w:rsidR="004D0443" w:rsidRDefault="004D0443">
      <w:pPr>
        <w:rPr>
          <w:rFonts w:ascii="Times New Roman" w:eastAsia="Times New Roman" w:hAnsi="Times New Roman" w:cs="Times New Roman"/>
          <w:sz w:val="22"/>
          <w:szCs w:val="22"/>
        </w:rPr>
      </w:pPr>
    </w:p>
    <w:p w14:paraId="1CE637C5" w14:textId="77777777" w:rsidR="004D0443" w:rsidRDefault="00DA3067">
      <w:pPr>
        <w:jc w:val="right"/>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Asunto: </w:t>
      </w:r>
      <w:r>
        <w:rPr>
          <w:rFonts w:ascii="Times New Roman" w:eastAsia="Times New Roman" w:hAnsi="Times New Roman" w:cs="Times New Roman"/>
          <w:sz w:val="22"/>
          <w:szCs w:val="22"/>
        </w:rPr>
        <w:t>Radicación Proyecto de Acuerdo.</w:t>
      </w:r>
    </w:p>
    <w:p w14:paraId="1CE637C6" w14:textId="77777777" w:rsidR="004D0443" w:rsidRDefault="004D0443">
      <w:pPr>
        <w:jc w:val="right"/>
        <w:rPr>
          <w:rFonts w:ascii="Times New Roman" w:eastAsia="Times New Roman" w:hAnsi="Times New Roman" w:cs="Times New Roman"/>
          <w:sz w:val="22"/>
          <w:szCs w:val="22"/>
        </w:rPr>
      </w:pPr>
    </w:p>
    <w:p w14:paraId="1CE637C7" w14:textId="77777777" w:rsidR="004D0443" w:rsidRDefault="004D0443">
      <w:pPr>
        <w:rPr>
          <w:rFonts w:ascii="Times New Roman" w:eastAsia="Times New Roman" w:hAnsi="Times New Roman" w:cs="Times New Roman"/>
          <w:sz w:val="22"/>
          <w:szCs w:val="22"/>
        </w:rPr>
      </w:pPr>
    </w:p>
    <w:p w14:paraId="1CE637C8" w14:textId="77777777" w:rsidR="004D0443" w:rsidRDefault="004D0443">
      <w:pPr>
        <w:rPr>
          <w:rFonts w:ascii="Times New Roman" w:eastAsia="Times New Roman" w:hAnsi="Times New Roman" w:cs="Times New Roman"/>
          <w:sz w:val="22"/>
          <w:szCs w:val="22"/>
        </w:rPr>
      </w:pPr>
    </w:p>
    <w:p w14:paraId="1CE637C9" w14:textId="77777777" w:rsidR="004D0443" w:rsidRDefault="00DA3067">
      <w:pPr>
        <w:rPr>
          <w:rFonts w:ascii="Times New Roman" w:eastAsia="Times New Roman" w:hAnsi="Times New Roman" w:cs="Times New Roman"/>
          <w:sz w:val="22"/>
          <w:szCs w:val="22"/>
        </w:rPr>
      </w:pPr>
      <w:r>
        <w:rPr>
          <w:rFonts w:ascii="Times New Roman" w:eastAsia="Times New Roman" w:hAnsi="Times New Roman" w:cs="Times New Roman"/>
          <w:sz w:val="22"/>
          <w:szCs w:val="22"/>
        </w:rPr>
        <w:t>Apreciada Doctora:</w:t>
      </w:r>
    </w:p>
    <w:p w14:paraId="1CE637CA" w14:textId="77777777" w:rsidR="004D0443" w:rsidRDefault="004D0443">
      <w:pPr>
        <w:rPr>
          <w:rFonts w:ascii="Times New Roman" w:eastAsia="Times New Roman" w:hAnsi="Times New Roman" w:cs="Times New Roman"/>
          <w:sz w:val="22"/>
          <w:szCs w:val="22"/>
        </w:rPr>
      </w:pPr>
    </w:p>
    <w:p w14:paraId="1CE637CB" w14:textId="77777777" w:rsidR="004D0443" w:rsidRDefault="004D0443">
      <w:pPr>
        <w:jc w:val="both"/>
        <w:rPr>
          <w:rFonts w:ascii="Times New Roman" w:eastAsia="Times New Roman" w:hAnsi="Times New Roman" w:cs="Times New Roman"/>
          <w:sz w:val="22"/>
          <w:szCs w:val="22"/>
        </w:rPr>
      </w:pPr>
    </w:p>
    <w:p w14:paraId="1CE637CC" w14:textId="77777777" w:rsidR="004D0443" w:rsidRDefault="00DA3067">
      <w:pPr>
        <w:spacing w:line="276" w:lineRule="auto"/>
        <w:jc w:val="both"/>
        <w:rPr>
          <w:rFonts w:ascii="Times New Roman" w:eastAsia="Times New Roman" w:hAnsi="Times New Roman" w:cs="Times New Roman"/>
          <w:i/>
          <w:color w:val="FF0000"/>
          <w:sz w:val="22"/>
          <w:szCs w:val="22"/>
        </w:rPr>
      </w:pPr>
      <w:r>
        <w:rPr>
          <w:rFonts w:ascii="Times New Roman" w:eastAsia="Times New Roman" w:hAnsi="Times New Roman" w:cs="Times New Roman"/>
          <w:sz w:val="22"/>
          <w:szCs w:val="22"/>
        </w:rPr>
        <w:t xml:space="preserve">Por medio de la presente  y de conformidad con lo dispuesto en los artículos 65, 66 y 67 del Acuerdo 741 de 2019, modificado por el Acuerdo 837 de 2022, me permito radicar ante su despacho el Proyecto de Acuerdo </w:t>
      </w:r>
      <w:r>
        <w:rPr>
          <w:rFonts w:ascii="Times New Roman" w:eastAsia="Times New Roman" w:hAnsi="Times New Roman" w:cs="Times New Roman"/>
          <w:b/>
          <w:i/>
          <w:sz w:val="22"/>
          <w:szCs w:val="22"/>
        </w:rPr>
        <w:t>"POR MEDIO DEL CUAL SE FOMENTAN LAS STARTUPS</w:t>
      </w:r>
      <w:r>
        <w:rPr>
          <w:rFonts w:ascii="Times New Roman" w:eastAsia="Times New Roman" w:hAnsi="Times New Roman" w:cs="Times New Roman"/>
          <w:b/>
          <w:i/>
          <w:sz w:val="22"/>
          <w:szCs w:val="22"/>
        </w:rPr>
        <w:t xml:space="preserve"> EN EL DISTRITO CAPITAL Y SE DICTAN OTRAS DISPOSICIONES”.</w:t>
      </w:r>
    </w:p>
    <w:p w14:paraId="1CE637CD" w14:textId="77777777" w:rsidR="004D0443" w:rsidRDefault="004D0443">
      <w:pPr>
        <w:jc w:val="both"/>
        <w:rPr>
          <w:rFonts w:ascii="Times New Roman" w:eastAsia="Times New Roman" w:hAnsi="Times New Roman" w:cs="Times New Roman"/>
          <w:sz w:val="22"/>
          <w:szCs w:val="22"/>
        </w:rPr>
      </w:pPr>
    </w:p>
    <w:p w14:paraId="1CE637CE" w14:textId="77777777" w:rsidR="004D0443" w:rsidRDefault="004D0443">
      <w:pPr>
        <w:jc w:val="both"/>
        <w:rPr>
          <w:rFonts w:ascii="Times New Roman" w:eastAsia="Times New Roman" w:hAnsi="Times New Roman" w:cs="Times New Roman"/>
          <w:sz w:val="22"/>
          <w:szCs w:val="22"/>
        </w:rPr>
      </w:pPr>
    </w:p>
    <w:p w14:paraId="1CE637CF"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Muchas gracias por su atención.</w:t>
      </w:r>
    </w:p>
    <w:p w14:paraId="1CE637D0" w14:textId="77777777" w:rsidR="004D0443" w:rsidRDefault="004D0443">
      <w:pPr>
        <w:jc w:val="both"/>
        <w:rPr>
          <w:rFonts w:ascii="Times New Roman" w:eastAsia="Times New Roman" w:hAnsi="Times New Roman" w:cs="Times New Roman"/>
          <w:sz w:val="22"/>
          <w:szCs w:val="22"/>
        </w:rPr>
      </w:pPr>
    </w:p>
    <w:p w14:paraId="1CE637D1" w14:textId="77777777" w:rsidR="004D0443" w:rsidRDefault="004D0443">
      <w:pPr>
        <w:jc w:val="both"/>
        <w:rPr>
          <w:rFonts w:ascii="Times New Roman" w:eastAsia="Times New Roman" w:hAnsi="Times New Roman" w:cs="Times New Roman"/>
          <w:sz w:val="22"/>
          <w:szCs w:val="22"/>
        </w:rPr>
      </w:pPr>
    </w:p>
    <w:p w14:paraId="1CE637D2" w14:textId="77777777" w:rsidR="004D0443" w:rsidRDefault="004D0443">
      <w:pPr>
        <w:jc w:val="both"/>
        <w:rPr>
          <w:rFonts w:ascii="Times New Roman" w:eastAsia="Times New Roman" w:hAnsi="Times New Roman" w:cs="Times New Roman"/>
          <w:sz w:val="22"/>
          <w:szCs w:val="22"/>
        </w:rPr>
      </w:pPr>
    </w:p>
    <w:p w14:paraId="1CE637D3" w14:textId="77777777" w:rsidR="004D0443" w:rsidRDefault="004D0443">
      <w:pPr>
        <w:jc w:val="both"/>
        <w:rPr>
          <w:rFonts w:ascii="Times New Roman" w:eastAsia="Times New Roman" w:hAnsi="Times New Roman" w:cs="Times New Roman"/>
          <w:sz w:val="22"/>
          <w:szCs w:val="22"/>
        </w:rPr>
      </w:pPr>
    </w:p>
    <w:p w14:paraId="1CE637D4"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Cordialmente,</w:t>
      </w:r>
    </w:p>
    <w:p w14:paraId="1CE637D5" w14:textId="2BC9F78E" w:rsidR="004D0443" w:rsidRDefault="004D0443">
      <w:pPr>
        <w:jc w:val="both"/>
        <w:rPr>
          <w:rFonts w:ascii="Times New Roman" w:eastAsia="Times New Roman" w:hAnsi="Times New Roman" w:cs="Times New Roman"/>
          <w:sz w:val="22"/>
          <w:szCs w:val="22"/>
        </w:rPr>
      </w:pPr>
    </w:p>
    <w:p w14:paraId="1CE637D6" w14:textId="77777777" w:rsidR="004D0443" w:rsidRDefault="004D0443">
      <w:pPr>
        <w:jc w:val="both"/>
        <w:rPr>
          <w:rFonts w:ascii="Times New Roman" w:eastAsia="Times New Roman" w:hAnsi="Times New Roman" w:cs="Times New Roman"/>
          <w:sz w:val="22"/>
          <w:szCs w:val="22"/>
        </w:rPr>
      </w:pPr>
    </w:p>
    <w:p w14:paraId="1CE637D7" w14:textId="77777777" w:rsidR="004D0443" w:rsidRDefault="004D0443">
      <w:pPr>
        <w:jc w:val="both"/>
        <w:rPr>
          <w:rFonts w:ascii="Times New Roman" w:eastAsia="Times New Roman" w:hAnsi="Times New Roman" w:cs="Times New Roman"/>
          <w:sz w:val="22"/>
          <w:szCs w:val="22"/>
        </w:rPr>
      </w:pPr>
    </w:p>
    <w:p w14:paraId="1CE637D8" w14:textId="77777777" w:rsidR="004D0443" w:rsidRDefault="004D0443">
      <w:pPr>
        <w:jc w:val="both"/>
        <w:rPr>
          <w:rFonts w:ascii="Times New Roman" w:eastAsia="Times New Roman" w:hAnsi="Times New Roman" w:cs="Times New Roman"/>
          <w:sz w:val="22"/>
          <w:szCs w:val="22"/>
        </w:rPr>
      </w:pPr>
    </w:p>
    <w:p w14:paraId="1CE637D9" w14:textId="77777777" w:rsidR="004D0443" w:rsidRDefault="004D0443">
      <w:pPr>
        <w:jc w:val="both"/>
        <w:rPr>
          <w:rFonts w:ascii="Times New Roman" w:eastAsia="Times New Roman" w:hAnsi="Times New Roman" w:cs="Times New Roman"/>
          <w:sz w:val="22"/>
          <w:szCs w:val="22"/>
        </w:rPr>
      </w:pPr>
    </w:p>
    <w:p w14:paraId="1CE637DA" w14:textId="77777777" w:rsidR="004D0443" w:rsidRDefault="004D0443">
      <w:pPr>
        <w:jc w:val="both"/>
        <w:rPr>
          <w:rFonts w:ascii="Times New Roman" w:eastAsia="Times New Roman" w:hAnsi="Times New Roman" w:cs="Times New Roman"/>
          <w:sz w:val="22"/>
          <w:szCs w:val="22"/>
        </w:rPr>
      </w:pPr>
    </w:p>
    <w:p w14:paraId="1CE637DB" w14:textId="77777777" w:rsidR="004D0443" w:rsidRDefault="00DA3067">
      <w:pPr>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JULIÁN RODRÍGUEZ SASTOQUE</w:t>
      </w:r>
    </w:p>
    <w:p w14:paraId="1CE637DC"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Concejal de Bogotá D.C.</w:t>
      </w:r>
    </w:p>
    <w:p w14:paraId="1CE637DD"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Partido Alianza Verde.</w:t>
      </w:r>
    </w:p>
    <w:p w14:paraId="1CE637DE" w14:textId="77777777" w:rsidR="004D0443" w:rsidRDefault="004D0443">
      <w:pPr>
        <w:jc w:val="both"/>
        <w:rPr>
          <w:rFonts w:ascii="Times New Roman" w:eastAsia="Times New Roman" w:hAnsi="Times New Roman" w:cs="Times New Roman"/>
          <w:sz w:val="22"/>
          <w:szCs w:val="22"/>
        </w:rPr>
      </w:pPr>
    </w:p>
    <w:p w14:paraId="1CE637DF" w14:textId="77777777" w:rsidR="004D0443" w:rsidRDefault="004D0443">
      <w:pPr>
        <w:jc w:val="both"/>
        <w:rPr>
          <w:rFonts w:ascii="Times New Roman" w:eastAsia="Times New Roman" w:hAnsi="Times New Roman" w:cs="Times New Roman"/>
          <w:sz w:val="22"/>
          <w:szCs w:val="22"/>
        </w:rPr>
      </w:pPr>
    </w:p>
    <w:p w14:paraId="1CE637E0" w14:textId="77777777" w:rsidR="004D0443" w:rsidRDefault="004D0443">
      <w:pPr>
        <w:jc w:val="both"/>
        <w:rPr>
          <w:rFonts w:ascii="Times New Roman" w:eastAsia="Times New Roman" w:hAnsi="Times New Roman" w:cs="Times New Roman"/>
          <w:sz w:val="22"/>
          <w:szCs w:val="22"/>
        </w:rPr>
      </w:pPr>
    </w:p>
    <w:p w14:paraId="1CE637E1" w14:textId="77777777" w:rsidR="004D0443" w:rsidRDefault="004D0443">
      <w:pPr>
        <w:jc w:val="both"/>
        <w:rPr>
          <w:rFonts w:ascii="Times New Roman" w:eastAsia="Times New Roman" w:hAnsi="Times New Roman" w:cs="Times New Roman"/>
          <w:sz w:val="22"/>
          <w:szCs w:val="22"/>
        </w:rPr>
      </w:pPr>
    </w:p>
    <w:p w14:paraId="1CE637E2" w14:textId="0C4AC73C" w:rsidR="004D0443" w:rsidRDefault="00DA3067">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PROYECTO DE ACUERDO No. 020</w:t>
      </w:r>
      <w:r>
        <w:rPr>
          <w:rFonts w:ascii="Times New Roman" w:eastAsia="Times New Roman" w:hAnsi="Times New Roman" w:cs="Times New Roman"/>
          <w:b/>
          <w:sz w:val="22"/>
          <w:szCs w:val="22"/>
        </w:rPr>
        <w:t xml:space="preserve"> DE  2025</w:t>
      </w:r>
    </w:p>
    <w:p w14:paraId="1CE637E3" w14:textId="77777777" w:rsidR="004D0443" w:rsidRDefault="004D0443">
      <w:pPr>
        <w:jc w:val="center"/>
        <w:rPr>
          <w:rFonts w:ascii="Times New Roman" w:eastAsia="Times New Roman" w:hAnsi="Times New Roman" w:cs="Times New Roman"/>
          <w:b/>
          <w:sz w:val="22"/>
          <w:szCs w:val="22"/>
        </w:rPr>
      </w:pPr>
    </w:p>
    <w:p w14:paraId="1CE637E4" w14:textId="77777777" w:rsidR="004D0443" w:rsidRDefault="00DA3067">
      <w:pPr>
        <w:spacing w:line="276" w:lineRule="auto"/>
        <w:jc w:val="center"/>
        <w:rPr>
          <w:rFonts w:ascii="Times New Roman" w:eastAsia="Times New Roman" w:hAnsi="Times New Roman" w:cs="Times New Roman"/>
          <w:b/>
          <w:i/>
          <w:sz w:val="22"/>
          <w:szCs w:val="22"/>
        </w:rPr>
      </w:pPr>
      <w:r>
        <w:rPr>
          <w:rFonts w:ascii="Times New Roman" w:eastAsia="Times New Roman" w:hAnsi="Times New Roman" w:cs="Times New Roman"/>
          <w:b/>
          <w:i/>
          <w:sz w:val="22"/>
          <w:szCs w:val="22"/>
        </w:rPr>
        <w:t>"POR MEDIO DEL CUAL SE FOMENTAN LAS STARTUPS EN EL DISTRITO CAPITAL Y SE DICTAN OTRAS DISPOSICIONES”</w:t>
      </w:r>
    </w:p>
    <w:p w14:paraId="1CE637E5" w14:textId="77777777" w:rsidR="004D0443" w:rsidRDefault="004D0443">
      <w:pPr>
        <w:spacing w:line="276" w:lineRule="auto"/>
        <w:jc w:val="center"/>
        <w:rPr>
          <w:rFonts w:ascii="Times New Roman" w:eastAsia="Times New Roman" w:hAnsi="Times New Roman" w:cs="Times New Roman"/>
          <w:b/>
          <w:i/>
          <w:sz w:val="22"/>
          <w:szCs w:val="22"/>
        </w:rPr>
      </w:pPr>
    </w:p>
    <w:p w14:paraId="1CE637E6" w14:textId="77777777" w:rsidR="004D0443" w:rsidRDefault="004D0443">
      <w:pPr>
        <w:rPr>
          <w:rFonts w:ascii="Times New Roman" w:eastAsia="Times New Roman" w:hAnsi="Times New Roman" w:cs="Times New Roman"/>
          <w:b/>
          <w:sz w:val="22"/>
          <w:szCs w:val="22"/>
        </w:rPr>
      </w:pPr>
    </w:p>
    <w:p w14:paraId="1CE637E7" w14:textId="77777777" w:rsidR="004D0443" w:rsidRDefault="00DA3067">
      <w:pPr>
        <w:spacing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1. OBJETO DEL PROYECTO</w:t>
      </w:r>
    </w:p>
    <w:p w14:paraId="1CE637E8" w14:textId="77777777" w:rsidR="004D0443" w:rsidRDefault="00DA3067">
      <w:pPr>
        <w:spacing w:before="240" w:after="240" w:line="25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presente Acuerdo tiene por objeto establecer medidas que fomenten, apoyen y fortalezcan la incubación, crecimiento, impulso y c</w:t>
      </w:r>
      <w:r>
        <w:rPr>
          <w:rFonts w:ascii="Times New Roman" w:eastAsia="Times New Roman" w:hAnsi="Times New Roman" w:cs="Times New Roman"/>
          <w:sz w:val="22"/>
          <w:szCs w:val="22"/>
        </w:rPr>
        <w:t xml:space="preserve">onsolidación de startups en el Distrito Capital, con el fin de impulsar la innovación, el crecimiento económico, la transformación digital, la competitividad, la productividad, la generación de empleo formal, la sostenibilidad y la internacionalización de </w:t>
      </w:r>
      <w:r>
        <w:rPr>
          <w:rFonts w:ascii="Times New Roman" w:eastAsia="Times New Roman" w:hAnsi="Times New Roman" w:cs="Times New Roman"/>
          <w:sz w:val="22"/>
          <w:szCs w:val="22"/>
        </w:rPr>
        <w:t>la ciudad fomentando la articulación entre la sociedad civil, la academia, el sector privado y el sector público, así mismo, para seguir consolidando a Bogotá como el epicentro de los emprendimientos emergentes en el país y la región.</w:t>
      </w:r>
    </w:p>
    <w:p w14:paraId="1CE637E9" w14:textId="77777777" w:rsidR="004D0443" w:rsidRDefault="00DA3067">
      <w:pPr>
        <w:spacing w:after="160" w:line="276" w:lineRule="auto"/>
        <w:jc w:val="center"/>
        <w:rPr>
          <w:rFonts w:ascii="Times New Roman" w:eastAsia="Times New Roman" w:hAnsi="Times New Roman" w:cs="Times New Roman"/>
          <w:b/>
          <w:color w:val="FF0000"/>
          <w:sz w:val="22"/>
          <w:szCs w:val="22"/>
        </w:rPr>
      </w:pPr>
      <w:r>
        <w:rPr>
          <w:rFonts w:ascii="Times New Roman" w:eastAsia="Times New Roman" w:hAnsi="Times New Roman" w:cs="Times New Roman"/>
          <w:b/>
          <w:sz w:val="22"/>
          <w:szCs w:val="22"/>
        </w:rPr>
        <w:t>2. EXPOSICIÓN DE MOTI</w:t>
      </w:r>
      <w:r>
        <w:rPr>
          <w:rFonts w:ascii="Times New Roman" w:eastAsia="Times New Roman" w:hAnsi="Times New Roman" w:cs="Times New Roman"/>
          <w:b/>
          <w:sz w:val="22"/>
          <w:szCs w:val="22"/>
        </w:rPr>
        <w:t xml:space="preserve">VOS </w:t>
      </w:r>
    </w:p>
    <w:p w14:paraId="1CE637EA" w14:textId="77777777" w:rsidR="004D0443" w:rsidRDefault="00DA3067">
      <w:pPr>
        <w:spacing w:line="276"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2.1. ¿Qué es una Startup?: </w:t>
      </w:r>
    </w:p>
    <w:p w14:paraId="1CE637EB" w14:textId="77777777" w:rsidR="004D0443" w:rsidRDefault="004D0443">
      <w:pPr>
        <w:spacing w:line="276" w:lineRule="auto"/>
        <w:rPr>
          <w:rFonts w:ascii="Times New Roman" w:eastAsia="Times New Roman" w:hAnsi="Times New Roman" w:cs="Times New Roman"/>
          <w:sz w:val="22"/>
          <w:szCs w:val="22"/>
        </w:rPr>
      </w:pPr>
    </w:p>
    <w:p w14:paraId="1CE637EC"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Una startup es una empresa emergente, generalmente de pequeño o mediano tamaño, que se caracteriza por estar orientada hacia el desarrollo de ideas innovadoras, normalmente en sectores tecnológicos, con el objetivo de encontrar un modelo de negocio escalab</w:t>
      </w:r>
      <w:r>
        <w:rPr>
          <w:rFonts w:ascii="Times New Roman" w:eastAsia="Times New Roman" w:hAnsi="Times New Roman" w:cs="Times New Roman"/>
          <w:sz w:val="22"/>
          <w:szCs w:val="22"/>
        </w:rPr>
        <w:t xml:space="preserve">le y repetible. Estas empresas, a diferencia de las tradicionales, están marcadas por su alta capacidad de adaptación y respuesta rápida ante cambios en el mercado, lo que les permite competir en entornos dinámicos y con alta incertidumbre (Escartín </w:t>
      </w:r>
      <w:r>
        <w:rPr>
          <w:rFonts w:ascii="Times New Roman" w:eastAsia="Times New Roman" w:hAnsi="Times New Roman" w:cs="Times New Roman"/>
          <w:i/>
          <w:sz w:val="22"/>
          <w:szCs w:val="22"/>
        </w:rPr>
        <w:t>et al.</w:t>
      </w:r>
      <w:r>
        <w:rPr>
          <w:rFonts w:ascii="Times New Roman" w:eastAsia="Times New Roman" w:hAnsi="Times New Roman" w:cs="Times New Roman"/>
          <w:sz w:val="22"/>
          <w:szCs w:val="22"/>
        </w:rPr>
        <w:t>, 2020)</w:t>
      </w:r>
      <w:r>
        <w:rPr>
          <w:rFonts w:ascii="Times New Roman" w:eastAsia="Times New Roman" w:hAnsi="Times New Roman" w:cs="Times New Roman"/>
          <w:sz w:val="22"/>
          <w:szCs w:val="22"/>
          <w:vertAlign w:val="superscript"/>
        </w:rPr>
        <w:footnoteReference w:id="1"/>
      </w:r>
      <w:r>
        <w:rPr>
          <w:rFonts w:ascii="Times New Roman" w:eastAsia="Times New Roman" w:hAnsi="Times New Roman" w:cs="Times New Roman"/>
          <w:sz w:val="22"/>
          <w:szCs w:val="22"/>
        </w:rPr>
        <w:t xml:space="preserve">. Además, uno de los elementos claves de una startup </w:t>
      </w:r>
      <w:r>
        <w:rPr>
          <w:rFonts w:ascii="Times New Roman" w:eastAsia="Times New Roman" w:hAnsi="Times New Roman" w:cs="Times New Roman"/>
          <w:sz w:val="22"/>
          <w:szCs w:val="22"/>
        </w:rPr>
        <w:lastRenderedPageBreak/>
        <w:t>es su orientación hacia la innovación y la tecnología, utilizando estas herramientas para resolver problemas cotidianos de manera creativa y disruptiva (Fazio, 2019)</w:t>
      </w:r>
      <w:r>
        <w:rPr>
          <w:rFonts w:ascii="Times New Roman" w:eastAsia="Times New Roman" w:hAnsi="Times New Roman" w:cs="Times New Roman"/>
          <w:sz w:val="22"/>
          <w:szCs w:val="22"/>
          <w:vertAlign w:val="superscript"/>
        </w:rPr>
        <w:footnoteReference w:id="2"/>
      </w:r>
      <w:r>
        <w:rPr>
          <w:rFonts w:ascii="Times New Roman" w:eastAsia="Times New Roman" w:hAnsi="Times New Roman" w:cs="Times New Roman"/>
          <w:sz w:val="22"/>
          <w:szCs w:val="22"/>
        </w:rPr>
        <w:t>.</w:t>
      </w:r>
    </w:p>
    <w:p w14:paraId="1CE637ED"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financiamiento de las st</w:t>
      </w:r>
      <w:r>
        <w:rPr>
          <w:rFonts w:ascii="Times New Roman" w:eastAsia="Times New Roman" w:hAnsi="Times New Roman" w:cs="Times New Roman"/>
          <w:sz w:val="22"/>
          <w:szCs w:val="22"/>
        </w:rPr>
        <w:t>artups suele ser uno de los aspectos más críticos en su ciclo de vida. En las primeras etapas, recurren a fuentes de financiamiento como el capital semilla o aportaciones de familiares y amigos, conocidas como "FFF" (friends, family and fools), mientras qu</w:t>
      </w:r>
      <w:r>
        <w:rPr>
          <w:rFonts w:ascii="Times New Roman" w:eastAsia="Times New Roman" w:hAnsi="Times New Roman" w:cs="Times New Roman"/>
          <w:sz w:val="22"/>
          <w:szCs w:val="22"/>
        </w:rPr>
        <w:t>e en fases más avanzadas optan por rondas de financiación con capital de riesgo o business angels (Escartín et al., 2020; Centro de Documentación Europea y Europe Direct de la Comunidad de Madrid, 2016)</w:t>
      </w:r>
      <w:r>
        <w:rPr>
          <w:rFonts w:ascii="Times New Roman" w:eastAsia="Times New Roman" w:hAnsi="Times New Roman" w:cs="Times New Roman"/>
          <w:sz w:val="22"/>
          <w:szCs w:val="22"/>
          <w:vertAlign w:val="superscript"/>
        </w:rPr>
        <w:footnoteReference w:id="3"/>
      </w:r>
      <w:r>
        <w:rPr>
          <w:rFonts w:ascii="Times New Roman" w:eastAsia="Times New Roman" w:hAnsi="Times New Roman" w:cs="Times New Roman"/>
          <w:sz w:val="22"/>
          <w:szCs w:val="22"/>
        </w:rPr>
        <w:t>. De esta manera, estas empresas consiguen el impulso económico necesario para crecer rápidamente y escalar su modelo de negocio.</w:t>
      </w:r>
    </w:p>
    <w:p w14:paraId="1CE637EE" w14:textId="77777777" w:rsidR="004D0443" w:rsidRDefault="00DA3067">
      <w:pPr>
        <w:spacing w:before="240" w:after="240"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Las startups, además de su flexibilidad y capacidad de crecimiento rápido, suelen estar enfocadas en mercados de nicho con alt</w:t>
      </w:r>
      <w:r>
        <w:rPr>
          <w:rFonts w:ascii="Times New Roman" w:eastAsia="Times New Roman" w:hAnsi="Times New Roman" w:cs="Times New Roman"/>
          <w:sz w:val="22"/>
          <w:szCs w:val="22"/>
        </w:rPr>
        <w:t>o potencial. Estas empresas suelen iniciar su actividad en lo que se conoce como el "valle de la muerte", una fase donde la falta de ingresos y la alta incertidumbre ponen a prueba su viabilidad antes de lograr un modelo de negocio sólido (Escartín et al.,</w:t>
      </w:r>
      <w:r>
        <w:rPr>
          <w:rFonts w:ascii="Times New Roman" w:eastAsia="Times New Roman" w:hAnsi="Times New Roman" w:cs="Times New Roman"/>
          <w:sz w:val="22"/>
          <w:szCs w:val="22"/>
        </w:rPr>
        <w:t xml:space="preserve"> 2020)</w:t>
      </w:r>
      <w:r>
        <w:rPr>
          <w:rFonts w:ascii="Times New Roman" w:eastAsia="Times New Roman" w:hAnsi="Times New Roman" w:cs="Times New Roman"/>
          <w:sz w:val="22"/>
          <w:szCs w:val="22"/>
          <w:vertAlign w:val="superscript"/>
        </w:rPr>
        <w:footnoteReference w:id="4"/>
      </w:r>
      <w:r>
        <w:rPr>
          <w:rFonts w:ascii="Times New Roman" w:eastAsia="Times New Roman" w:hAnsi="Times New Roman" w:cs="Times New Roman"/>
          <w:sz w:val="22"/>
          <w:szCs w:val="22"/>
        </w:rPr>
        <w:t>.</w:t>
      </w:r>
    </w:p>
    <w:p w14:paraId="1CE637EF" w14:textId="77777777" w:rsidR="004D0443" w:rsidRDefault="00DA3067">
      <w:pPr>
        <w:spacing w:line="276"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2.2. Impacto de las startups a nivel global: </w:t>
      </w:r>
    </w:p>
    <w:p w14:paraId="1CE637F0" w14:textId="77777777" w:rsidR="004D0443" w:rsidRDefault="004D0443">
      <w:pPr>
        <w:spacing w:line="276" w:lineRule="auto"/>
        <w:rPr>
          <w:rFonts w:ascii="Times New Roman" w:eastAsia="Times New Roman" w:hAnsi="Times New Roman" w:cs="Times New Roman"/>
          <w:b/>
          <w:sz w:val="22"/>
          <w:szCs w:val="22"/>
        </w:rPr>
      </w:pPr>
    </w:p>
    <w:p w14:paraId="1CE637F1"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Las startups han emergido como actores clave en la economía global del siglo XXI, dejando atrás la percepción de ser empresas con alta incertidumbre y riesgo. Hoy en día, estas empresas jóvenes se dis</w:t>
      </w:r>
      <w:r>
        <w:rPr>
          <w:rFonts w:ascii="Times New Roman" w:eastAsia="Times New Roman" w:hAnsi="Times New Roman" w:cs="Times New Roman"/>
          <w:sz w:val="22"/>
          <w:szCs w:val="22"/>
        </w:rPr>
        <w:t>tinguen por su capacidad para desarrollar productos o servicios innovadores que buscan llenar vacíos en el mercado o crear completamente nuevas categorías de bienes y servicios. Este proceso de innovación disruptiva ha permitido que las startups desafíen y</w:t>
      </w:r>
      <w:r>
        <w:rPr>
          <w:rFonts w:ascii="Times New Roman" w:eastAsia="Times New Roman" w:hAnsi="Times New Roman" w:cs="Times New Roman"/>
          <w:sz w:val="22"/>
          <w:szCs w:val="22"/>
        </w:rPr>
        <w:t xml:space="preserve"> transformen sectores enteros, </w:t>
      </w:r>
      <w:r>
        <w:rPr>
          <w:rFonts w:ascii="Times New Roman" w:eastAsia="Times New Roman" w:hAnsi="Times New Roman" w:cs="Times New Roman"/>
          <w:sz w:val="22"/>
          <w:szCs w:val="22"/>
        </w:rPr>
        <w:lastRenderedPageBreak/>
        <w:t>cimentando su papel en el crecimiento económico global (Solís Tepexpa &amp; Torres Castañeda, 2022, p. 45)</w:t>
      </w:r>
      <w:r>
        <w:rPr>
          <w:rFonts w:ascii="Times New Roman" w:eastAsia="Times New Roman" w:hAnsi="Times New Roman" w:cs="Times New Roman"/>
          <w:sz w:val="22"/>
          <w:szCs w:val="22"/>
          <w:vertAlign w:val="superscript"/>
        </w:rPr>
        <w:footnoteReference w:id="5"/>
      </w:r>
      <w:r>
        <w:rPr>
          <w:rFonts w:ascii="Times New Roman" w:eastAsia="Times New Roman" w:hAnsi="Times New Roman" w:cs="Times New Roman"/>
          <w:sz w:val="22"/>
          <w:szCs w:val="22"/>
        </w:rPr>
        <w:t>.</w:t>
      </w:r>
    </w:p>
    <w:p w14:paraId="1CE637F2" w14:textId="77777777" w:rsidR="004D0443" w:rsidRDefault="004D0443">
      <w:pPr>
        <w:spacing w:line="276" w:lineRule="auto"/>
        <w:jc w:val="both"/>
        <w:rPr>
          <w:rFonts w:ascii="Times New Roman" w:eastAsia="Times New Roman" w:hAnsi="Times New Roman" w:cs="Times New Roman"/>
          <w:sz w:val="22"/>
          <w:szCs w:val="22"/>
        </w:rPr>
      </w:pPr>
    </w:p>
    <w:p w14:paraId="1CE637F3"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A nivel global, las startups han demostrado ser un componente esencial en los ecosistemas de innovación, especialmente </w:t>
      </w:r>
      <w:r>
        <w:rPr>
          <w:rFonts w:ascii="Times New Roman" w:eastAsia="Times New Roman" w:hAnsi="Times New Roman" w:cs="Times New Roman"/>
          <w:sz w:val="22"/>
          <w:szCs w:val="22"/>
        </w:rPr>
        <w:t xml:space="preserve">en sectores de alta tecnología. Se estima que alrededor del 35% de las startups a nivel mundial están concentradas en sectores tecnológicos, destacándose la industria Fintech y las ciencias de la vida y salud, que juntas representan aproximadamente el 14% </w:t>
      </w:r>
      <w:r>
        <w:rPr>
          <w:rFonts w:ascii="Times New Roman" w:eastAsia="Times New Roman" w:hAnsi="Times New Roman" w:cs="Times New Roman"/>
          <w:sz w:val="22"/>
          <w:szCs w:val="22"/>
        </w:rPr>
        <w:t>de la actividad de estas empresas. Esta participación significativa resalta el papel crucial de las startups en la creación de productos, servicios y modelos de negocio innovadores que impulsan la economía global (Solís Tepexpa &amp; Torres Castañeda, 2022, pp</w:t>
      </w:r>
      <w:r>
        <w:rPr>
          <w:rFonts w:ascii="Times New Roman" w:eastAsia="Times New Roman" w:hAnsi="Times New Roman" w:cs="Times New Roman"/>
          <w:sz w:val="22"/>
          <w:szCs w:val="22"/>
        </w:rPr>
        <w:t>. 52-53)</w:t>
      </w:r>
      <w:r>
        <w:rPr>
          <w:rFonts w:ascii="Times New Roman" w:eastAsia="Times New Roman" w:hAnsi="Times New Roman" w:cs="Times New Roman"/>
          <w:sz w:val="22"/>
          <w:szCs w:val="22"/>
          <w:vertAlign w:val="superscript"/>
        </w:rPr>
        <w:footnoteReference w:id="6"/>
      </w:r>
      <w:r>
        <w:rPr>
          <w:rFonts w:ascii="Times New Roman" w:eastAsia="Times New Roman" w:hAnsi="Times New Roman" w:cs="Times New Roman"/>
          <w:sz w:val="22"/>
          <w:szCs w:val="22"/>
        </w:rPr>
        <w:t>.</w:t>
      </w:r>
    </w:p>
    <w:p w14:paraId="1CE637F4" w14:textId="77777777" w:rsidR="004D0443" w:rsidRDefault="00DA3067">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2"/>
          <w:szCs w:val="22"/>
          <w:lang w:val="es-CO"/>
        </w:rPr>
        <w:lastRenderedPageBreak/>
        <w:drawing>
          <wp:inline distT="114300" distB="114300" distL="114300" distR="114300" wp14:anchorId="1CE639F9" wp14:editId="1CE639FA">
            <wp:extent cx="3963488" cy="3176173"/>
            <wp:effectExtent l="0" t="0" r="0" b="0"/>
            <wp:docPr id="13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3963488" cy="3176173"/>
                    </a:xfrm>
                    <a:prstGeom prst="rect">
                      <a:avLst/>
                    </a:prstGeom>
                    <a:ln/>
                  </pic:spPr>
                </pic:pic>
              </a:graphicData>
            </a:graphic>
          </wp:inline>
        </w:drawing>
      </w:r>
      <w:r>
        <w:rPr>
          <w:rFonts w:ascii="Times New Roman" w:eastAsia="Times New Roman" w:hAnsi="Times New Roman" w:cs="Times New Roman"/>
          <w:b/>
          <w:sz w:val="20"/>
          <w:szCs w:val="20"/>
        </w:rPr>
        <w:t xml:space="preserve"> </w:t>
      </w:r>
      <w:r>
        <w:rPr>
          <w:rFonts w:ascii="Times New Roman" w:eastAsia="Times New Roman" w:hAnsi="Times New Roman" w:cs="Times New Roman"/>
          <w:b/>
          <w:sz w:val="20"/>
          <w:szCs w:val="20"/>
        </w:rPr>
        <w:br/>
      </w:r>
      <w:r>
        <w:rPr>
          <w:rFonts w:ascii="Times New Roman" w:eastAsia="Times New Roman" w:hAnsi="Times New Roman" w:cs="Times New Roman"/>
          <w:sz w:val="20"/>
          <w:szCs w:val="20"/>
        </w:rPr>
        <w:t xml:space="preserve">Imagen 1: Las startups mejor valoradas en el mundo en 2023. </w:t>
      </w:r>
      <w:r>
        <w:rPr>
          <w:rFonts w:ascii="Times New Roman" w:eastAsia="Times New Roman" w:hAnsi="Times New Roman" w:cs="Times New Roman"/>
          <w:sz w:val="20"/>
          <w:szCs w:val="20"/>
        </w:rPr>
        <w:br/>
        <w:t>Fuente: Statitsta, 2023</w:t>
      </w:r>
      <w:r>
        <w:rPr>
          <w:rFonts w:ascii="Times New Roman" w:eastAsia="Times New Roman" w:hAnsi="Times New Roman" w:cs="Times New Roman"/>
          <w:sz w:val="20"/>
          <w:szCs w:val="20"/>
          <w:vertAlign w:val="superscript"/>
        </w:rPr>
        <w:footnoteReference w:id="7"/>
      </w:r>
      <w:r>
        <w:rPr>
          <w:rFonts w:ascii="Times New Roman" w:eastAsia="Times New Roman" w:hAnsi="Times New Roman" w:cs="Times New Roman"/>
          <w:sz w:val="20"/>
          <w:szCs w:val="20"/>
        </w:rPr>
        <w:t xml:space="preserve"> </w:t>
      </w:r>
    </w:p>
    <w:p w14:paraId="1CE637F5" w14:textId="77777777" w:rsidR="004D0443" w:rsidRDefault="004D0443">
      <w:pPr>
        <w:spacing w:line="276" w:lineRule="auto"/>
        <w:jc w:val="both"/>
        <w:rPr>
          <w:rFonts w:ascii="Times New Roman" w:eastAsia="Times New Roman" w:hAnsi="Times New Roman" w:cs="Times New Roman"/>
          <w:sz w:val="22"/>
          <w:szCs w:val="22"/>
        </w:rPr>
      </w:pPr>
    </w:p>
    <w:p w14:paraId="1CE637F6"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Según Buchholz (2023)</w:t>
      </w:r>
      <w:r>
        <w:rPr>
          <w:rFonts w:ascii="Times New Roman" w:eastAsia="Times New Roman" w:hAnsi="Times New Roman" w:cs="Times New Roman"/>
          <w:sz w:val="22"/>
          <w:szCs w:val="22"/>
          <w:vertAlign w:val="superscript"/>
        </w:rPr>
        <w:footnoteReference w:id="8"/>
      </w:r>
      <w:r>
        <w:rPr>
          <w:rFonts w:ascii="Times New Roman" w:eastAsia="Times New Roman" w:hAnsi="Times New Roman" w:cs="Times New Roman"/>
          <w:sz w:val="22"/>
          <w:szCs w:val="22"/>
        </w:rPr>
        <w:t xml:space="preserve"> La empresa china de IA y medios de comunicación ByteDance es la startup más valorada del mundo.  Es la empresa matriz de TikTok  qu</w:t>
      </w:r>
      <w:r>
        <w:rPr>
          <w:rFonts w:ascii="Times New Roman" w:eastAsia="Times New Roman" w:hAnsi="Times New Roman" w:cs="Times New Roman"/>
          <w:sz w:val="22"/>
          <w:szCs w:val="22"/>
        </w:rPr>
        <w:t>e está valorada en 225 mil millones de dólares. ByteDance también dirige la plataforma de contenidos Toutiao en China, que utiliza el aprendizaje automático para adaptar un suministro de noticias para cada espectador individual a partir de fuentes de medio</w:t>
      </w:r>
      <w:r>
        <w:rPr>
          <w:rFonts w:ascii="Times New Roman" w:eastAsia="Times New Roman" w:hAnsi="Times New Roman" w:cs="Times New Roman"/>
          <w:sz w:val="22"/>
          <w:szCs w:val="22"/>
        </w:rPr>
        <w:t>s tradicionales y nuevas.</w:t>
      </w:r>
    </w:p>
    <w:p w14:paraId="1CE637F7" w14:textId="77777777" w:rsidR="004D0443" w:rsidRDefault="004D0443">
      <w:pPr>
        <w:spacing w:line="276" w:lineRule="auto"/>
        <w:jc w:val="both"/>
        <w:rPr>
          <w:rFonts w:ascii="Times New Roman" w:eastAsia="Times New Roman" w:hAnsi="Times New Roman" w:cs="Times New Roman"/>
          <w:sz w:val="22"/>
          <w:szCs w:val="22"/>
        </w:rPr>
      </w:pPr>
    </w:p>
    <w:p w14:paraId="1CE637F8"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ByteDance es seguida por SpaceX de Estados Unidos con 150 mil millones. Shein, una empresa china de ropa, ocupa el tercer lugar con 66 mil millones, mientras que las fintech Stripe (EE.UU.) y Revolut </w:t>
      </w:r>
      <w:r>
        <w:rPr>
          <w:rFonts w:ascii="Times New Roman" w:eastAsia="Times New Roman" w:hAnsi="Times New Roman" w:cs="Times New Roman"/>
          <w:sz w:val="22"/>
          <w:szCs w:val="22"/>
        </w:rPr>
        <w:lastRenderedPageBreak/>
        <w:t>(Reino Unido) están valoradas</w:t>
      </w:r>
      <w:r>
        <w:rPr>
          <w:rFonts w:ascii="Times New Roman" w:eastAsia="Times New Roman" w:hAnsi="Times New Roman" w:cs="Times New Roman"/>
          <w:sz w:val="22"/>
          <w:szCs w:val="22"/>
        </w:rPr>
        <w:t xml:space="preserve"> en 50 y 33 mil millones respectivamente. Databricks (EE.UU.), una compañía de software, tiene una valoración de 43 mil millones, y Epic Games (EE.UU.) del sector de entretenimiento está valorada en 31.5 mil millones. Finalmente, Fanatics (EE.UU.), una emp</w:t>
      </w:r>
      <w:r>
        <w:rPr>
          <w:rFonts w:ascii="Times New Roman" w:eastAsia="Times New Roman" w:hAnsi="Times New Roman" w:cs="Times New Roman"/>
          <w:sz w:val="22"/>
          <w:szCs w:val="22"/>
        </w:rPr>
        <w:t>resa de ropa, cierra la lista con 31 mil millones de dólares.</w:t>
      </w:r>
    </w:p>
    <w:p w14:paraId="1CE637F9" w14:textId="77777777" w:rsidR="004D0443" w:rsidRDefault="004D0443">
      <w:pPr>
        <w:spacing w:line="276" w:lineRule="auto"/>
        <w:jc w:val="both"/>
        <w:rPr>
          <w:rFonts w:ascii="Times New Roman" w:eastAsia="Times New Roman" w:hAnsi="Times New Roman" w:cs="Times New Roman"/>
          <w:sz w:val="22"/>
          <w:szCs w:val="22"/>
        </w:rPr>
      </w:pPr>
    </w:p>
    <w:p w14:paraId="1CE637FA" w14:textId="77777777" w:rsidR="004D0443" w:rsidRDefault="00DA3067">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2"/>
          <w:szCs w:val="22"/>
          <w:lang w:val="es-CO"/>
        </w:rPr>
        <w:drawing>
          <wp:inline distT="114300" distB="114300" distL="114300" distR="114300" wp14:anchorId="1CE639FB" wp14:editId="1CE639FC">
            <wp:extent cx="5992313" cy="4349476"/>
            <wp:effectExtent l="0" t="0" r="0" b="0"/>
            <wp:docPr id="13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5992313" cy="4349476"/>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Tabla 1: </w:t>
      </w:r>
      <w:r>
        <w:rPr>
          <w:rFonts w:ascii="Times New Roman" w:eastAsia="Times New Roman" w:hAnsi="Times New Roman" w:cs="Times New Roman"/>
          <w:sz w:val="20"/>
          <w:szCs w:val="20"/>
        </w:rPr>
        <w:t xml:space="preserve">Lista de compañías de unicornios en 2024. </w:t>
      </w:r>
      <w:r>
        <w:rPr>
          <w:rFonts w:ascii="Times New Roman" w:eastAsia="Times New Roman" w:hAnsi="Times New Roman" w:cs="Times New Roman"/>
          <w:sz w:val="20"/>
          <w:szCs w:val="20"/>
        </w:rPr>
        <w:br/>
      </w:r>
      <w:r>
        <w:rPr>
          <w:rFonts w:ascii="Times New Roman" w:eastAsia="Times New Roman" w:hAnsi="Times New Roman" w:cs="Times New Roman"/>
          <w:b/>
          <w:sz w:val="20"/>
          <w:szCs w:val="20"/>
        </w:rPr>
        <w:t xml:space="preserve">Fuente: </w:t>
      </w:r>
      <w:r>
        <w:rPr>
          <w:rFonts w:ascii="Times New Roman" w:eastAsia="Times New Roman" w:hAnsi="Times New Roman" w:cs="Times New Roman"/>
          <w:sz w:val="20"/>
          <w:szCs w:val="20"/>
        </w:rPr>
        <w:t>CB Insights, 2024</w:t>
      </w:r>
      <w:r>
        <w:rPr>
          <w:rFonts w:ascii="Times New Roman" w:eastAsia="Times New Roman" w:hAnsi="Times New Roman" w:cs="Times New Roman"/>
          <w:sz w:val="20"/>
          <w:szCs w:val="20"/>
          <w:vertAlign w:val="superscript"/>
        </w:rPr>
        <w:footnoteReference w:id="9"/>
      </w:r>
      <w:r>
        <w:rPr>
          <w:rFonts w:ascii="Times New Roman" w:eastAsia="Times New Roman" w:hAnsi="Times New Roman" w:cs="Times New Roman"/>
          <w:sz w:val="20"/>
          <w:szCs w:val="20"/>
        </w:rPr>
        <w:t>.</w:t>
      </w:r>
    </w:p>
    <w:p w14:paraId="1CE637FB" w14:textId="77777777" w:rsidR="004D0443" w:rsidRDefault="004D0443">
      <w:pPr>
        <w:spacing w:line="276" w:lineRule="auto"/>
        <w:jc w:val="both"/>
        <w:rPr>
          <w:rFonts w:ascii="Times New Roman" w:eastAsia="Times New Roman" w:hAnsi="Times New Roman" w:cs="Times New Roman"/>
          <w:sz w:val="22"/>
          <w:szCs w:val="22"/>
        </w:rPr>
      </w:pPr>
    </w:p>
    <w:p w14:paraId="1CE637FC"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Una empresa unicornio, o startup unicornio, es una compañía privada con una valoración superior a mil millones de dólares. Para mayo de 2024, existen más de 1,200 unicornios</w:t>
      </w:r>
      <w:r>
        <w:rPr>
          <w:rFonts w:ascii="Times New Roman" w:eastAsia="Times New Roman" w:hAnsi="Times New Roman" w:cs="Times New Roman"/>
          <w:sz w:val="22"/>
          <w:szCs w:val="22"/>
          <w:vertAlign w:val="superscript"/>
        </w:rPr>
        <w:footnoteReference w:id="10"/>
      </w:r>
      <w:r>
        <w:rPr>
          <w:rFonts w:ascii="Times New Roman" w:eastAsia="Times New Roman" w:hAnsi="Times New Roman" w:cs="Times New Roman"/>
          <w:sz w:val="22"/>
          <w:szCs w:val="22"/>
        </w:rPr>
        <w:t xml:space="preserve"> en todo el mundo. Ejemplos destacados de antiguos unicornios incluyen Airbnb, Fac</w:t>
      </w:r>
      <w:r>
        <w:rPr>
          <w:rFonts w:ascii="Times New Roman" w:eastAsia="Times New Roman" w:hAnsi="Times New Roman" w:cs="Times New Roman"/>
          <w:sz w:val="22"/>
          <w:szCs w:val="22"/>
        </w:rPr>
        <w:t xml:space="preserve">ebook y Google. Entre las variantes se encuentran los decacornios, valorados en más de 10 mil millones de dólares, y los hectocornios, que superan los 100 mil millones. </w:t>
      </w:r>
    </w:p>
    <w:p w14:paraId="1CE637FD" w14:textId="77777777" w:rsidR="004D0443" w:rsidRDefault="004D0443">
      <w:pPr>
        <w:spacing w:line="276" w:lineRule="auto"/>
        <w:jc w:val="both"/>
        <w:rPr>
          <w:rFonts w:ascii="Times New Roman" w:eastAsia="Times New Roman" w:hAnsi="Times New Roman" w:cs="Times New Roman"/>
          <w:sz w:val="22"/>
          <w:szCs w:val="22"/>
        </w:rPr>
      </w:pPr>
    </w:p>
    <w:p w14:paraId="1CE637FE"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Las startups mencionadas en el texto, como ByteDance, SpaceX, Shein, Stripe, Revolut,</w:t>
      </w:r>
      <w:r>
        <w:rPr>
          <w:rFonts w:ascii="Times New Roman" w:eastAsia="Times New Roman" w:hAnsi="Times New Roman" w:cs="Times New Roman"/>
          <w:sz w:val="22"/>
          <w:szCs w:val="22"/>
        </w:rPr>
        <w:t xml:space="preserve"> Databricks, y Fanatics, han tenido un impacto profundo en la economía mundial, generando efectos positivos tanto a nivel económico como en la creación de empleo, el avance tecnológico, y la disrupción de sectores tradicionales.</w:t>
      </w:r>
    </w:p>
    <w:p w14:paraId="1CE637FF" w14:textId="77777777" w:rsidR="004D0443" w:rsidRDefault="004D0443">
      <w:pPr>
        <w:spacing w:line="276" w:lineRule="auto"/>
        <w:jc w:val="both"/>
        <w:rPr>
          <w:rFonts w:ascii="Times New Roman" w:eastAsia="Times New Roman" w:hAnsi="Times New Roman" w:cs="Times New Roman"/>
          <w:sz w:val="22"/>
          <w:szCs w:val="22"/>
        </w:rPr>
      </w:pPr>
    </w:p>
    <w:p w14:paraId="1CE63800" w14:textId="77777777" w:rsidR="004D0443" w:rsidRDefault="00DA3067">
      <w:pPr>
        <w:numPr>
          <w:ilvl w:val="0"/>
          <w:numId w:val="2"/>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ByteDance: </w:t>
      </w:r>
      <w:r>
        <w:rPr>
          <w:rFonts w:ascii="Times New Roman" w:eastAsia="Times New Roman" w:hAnsi="Times New Roman" w:cs="Times New Roman"/>
          <w:sz w:val="22"/>
          <w:szCs w:val="22"/>
        </w:rPr>
        <w:t>Esta empresa ch</w:t>
      </w:r>
      <w:r>
        <w:rPr>
          <w:rFonts w:ascii="Times New Roman" w:eastAsia="Times New Roman" w:hAnsi="Times New Roman" w:cs="Times New Roman"/>
          <w:sz w:val="22"/>
          <w:szCs w:val="22"/>
        </w:rPr>
        <w:t xml:space="preserve">ina, valorada en 225 mil millones de dólares, ha revolucionado los sectores de los medios y la tecnología a través de su plataforma TikTok. Su impacto en la economía mundial es significativo, con un gran efecto en la generación de ingresos publicitarios y </w:t>
      </w:r>
      <w:r>
        <w:rPr>
          <w:rFonts w:ascii="Times New Roman" w:eastAsia="Times New Roman" w:hAnsi="Times New Roman" w:cs="Times New Roman"/>
          <w:sz w:val="22"/>
          <w:szCs w:val="22"/>
        </w:rPr>
        <w:t>la creación de empleos en el sector tecnológico. Además, ByteDance ha demostrado cómo la inteligencia artificial puede personalizar el consumo de contenidos, incrementando la eficiencia en las plataformas digitales (Hurun Report, 2023)</w:t>
      </w:r>
      <w:r>
        <w:rPr>
          <w:rFonts w:ascii="Times New Roman" w:eastAsia="Times New Roman" w:hAnsi="Times New Roman" w:cs="Times New Roman"/>
          <w:sz w:val="22"/>
          <w:szCs w:val="22"/>
          <w:vertAlign w:val="superscript"/>
        </w:rPr>
        <w:footnoteReference w:id="11"/>
      </w:r>
      <w:r>
        <w:rPr>
          <w:rFonts w:ascii="Times New Roman" w:eastAsia="Times New Roman" w:hAnsi="Times New Roman" w:cs="Times New Roman"/>
          <w:sz w:val="22"/>
          <w:szCs w:val="22"/>
        </w:rPr>
        <w:t>. Este enfoque innov</w:t>
      </w:r>
      <w:r>
        <w:rPr>
          <w:rFonts w:ascii="Times New Roman" w:eastAsia="Times New Roman" w:hAnsi="Times New Roman" w:cs="Times New Roman"/>
          <w:sz w:val="22"/>
          <w:szCs w:val="22"/>
        </w:rPr>
        <w:t>ador ha redefinido el entretenimiento y los medios de comunicación digitales, contribuyendo al crecimiento del sector de la tecnología en mercados globales​.</w:t>
      </w:r>
    </w:p>
    <w:p w14:paraId="1CE63801" w14:textId="77777777" w:rsidR="004D0443" w:rsidRDefault="004D0443">
      <w:pPr>
        <w:spacing w:line="276" w:lineRule="auto"/>
        <w:ind w:left="720"/>
        <w:jc w:val="both"/>
        <w:rPr>
          <w:rFonts w:ascii="Times New Roman" w:eastAsia="Times New Roman" w:hAnsi="Times New Roman" w:cs="Times New Roman"/>
          <w:sz w:val="22"/>
          <w:szCs w:val="22"/>
        </w:rPr>
      </w:pPr>
    </w:p>
    <w:p w14:paraId="1CE63802" w14:textId="77777777" w:rsidR="004D0443" w:rsidRDefault="00DA3067">
      <w:pPr>
        <w:numPr>
          <w:ilvl w:val="0"/>
          <w:numId w:val="2"/>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SpaceX: </w:t>
      </w:r>
      <w:r>
        <w:rPr>
          <w:rFonts w:ascii="Times New Roman" w:eastAsia="Times New Roman" w:hAnsi="Times New Roman" w:cs="Times New Roman"/>
          <w:sz w:val="22"/>
          <w:szCs w:val="22"/>
        </w:rPr>
        <w:t>Es</w:t>
      </w:r>
      <w:r>
        <w:rPr>
          <w:rFonts w:ascii="Times New Roman" w:eastAsia="Times New Roman" w:hAnsi="Times New Roman" w:cs="Times New Roman"/>
          <w:b/>
          <w:sz w:val="22"/>
          <w:szCs w:val="22"/>
        </w:rPr>
        <w:t xml:space="preserve"> </w:t>
      </w:r>
      <w:r>
        <w:rPr>
          <w:rFonts w:ascii="Times New Roman" w:eastAsia="Times New Roman" w:hAnsi="Times New Roman" w:cs="Times New Roman"/>
          <w:sz w:val="22"/>
          <w:szCs w:val="22"/>
        </w:rPr>
        <w:t>la segunda startup más valiosa, con una valoración de 150 mil millones de dólares, que ha cambiado el paradigma de la industria aeroespacial al reducir costos de lanzamiento y abrir nuevas oportunidades para empresas privadas y gobiernos. Esto ha impulsado</w:t>
      </w:r>
      <w:r>
        <w:rPr>
          <w:rFonts w:ascii="Times New Roman" w:eastAsia="Times New Roman" w:hAnsi="Times New Roman" w:cs="Times New Roman"/>
          <w:sz w:val="22"/>
          <w:szCs w:val="22"/>
        </w:rPr>
        <w:t xml:space="preserve"> una nueva economía espacial, que ha creado miles de empleos especializados y ha fortalecido las cadenas de suministro relacionadas con la manufactura avanzada (Hurun Report, 2023)</w:t>
      </w:r>
      <w:r>
        <w:rPr>
          <w:rFonts w:ascii="Times New Roman" w:eastAsia="Times New Roman" w:hAnsi="Times New Roman" w:cs="Times New Roman"/>
          <w:sz w:val="22"/>
          <w:szCs w:val="22"/>
          <w:vertAlign w:val="superscript"/>
        </w:rPr>
        <w:footnoteReference w:id="12"/>
      </w:r>
      <w:r>
        <w:rPr>
          <w:rFonts w:ascii="Times New Roman" w:eastAsia="Times New Roman" w:hAnsi="Times New Roman" w:cs="Times New Roman"/>
          <w:sz w:val="22"/>
          <w:szCs w:val="22"/>
        </w:rPr>
        <w:t>. Además, SpaceX ha facilitado una mayor inversión en tecnologías espaciale</w:t>
      </w:r>
      <w:r>
        <w:rPr>
          <w:rFonts w:ascii="Times New Roman" w:eastAsia="Times New Roman" w:hAnsi="Times New Roman" w:cs="Times New Roman"/>
          <w:sz w:val="22"/>
          <w:szCs w:val="22"/>
        </w:rPr>
        <w:t>s, lo que también beneficia a otras industrias como la de telecomunicaciones y defensa​</w:t>
      </w:r>
    </w:p>
    <w:p w14:paraId="1CE63803" w14:textId="77777777" w:rsidR="004D0443" w:rsidRDefault="004D0443">
      <w:pPr>
        <w:spacing w:line="276" w:lineRule="auto"/>
        <w:ind w:left="720"/>
        <w:jc w:val="both"/>
        <w:rPr>
          <w:rFonts w:ascii="Times New Roman" w:eastAsia="Times New Roman" w:hAnsi="Times New Roman" w:cs="Times New Roman"/>
          <w:sz w:val="22"/>
          <w:szCs w:val="22"/>
        </w:rPr>
      </w:pPr>
    </w:p>
    <w:p w14:paraId="1CE63804" w14:textId="77777777" w:rsidR="004D0443" w:rsidRDefault="00DA3067">
      <w:pPr>
        <w:numPr>
          <w:ilvl w:val="0"/>
          <w:numId w:val="2"/>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Shein: </w:t>
      </w:r>
      <w:r>
        <w:rPr>
          <w:rFonts w:ascii="Times New Roman" w:eastAsia="Times New Roman" w:hAnsi="Times New Roman" w:cs="Times New Roman"/>
          <w:sz w:val="22"/>
          <w:szCs w:val="22"/>
        </w:rPr>
        <w:t xml:space="preserve">Con una valoración de 66 mil millones de dólares ha transformado la industria de la moda, especialmente en el sector del comercio electrónico. Su enfoque en la </w:t>
      </w:r>
      <w:r>
        <w:rPr>
          <w:rFonts w:ascii="Times New Roman" w:eastAsia="Times New Roman" w:hAnsi="Times New Roman" w:cs="Times New Roman"/>
          <w:sz w:val="22"/>
          <w:szCs w:val="22"/>
        </w:rPr>
        <w:t xml:space="preserve">moda rápida ha </w:t>
      </w:r>
      <w:r>
        <w:rPr>
          <w:rFonts w:ascii="Times New Roman" w:eastAsia="Times New Roman" w:hAnsi="Times New Roman" w:cs="Times New Roman"/>
          <w:sz w:val="22"/>
          <w:szCs w:val="22"/>
        </w:rPr>
        <w:lastRenderedPageBreak/>
        <w:t>permitido a los consumidores acceder a productos asequibles, mientras que ha optimizado su cadena de suministro utilizando análisis de datos para predecir tendencias y reducir el desperdicio. A pesar de las críticas hacia el modelo de negoci</w:t>
      </w:r>
      <w:r>
        <w:rPr>
          <w:rFonts w:ascii="Times New Roman" w:eastAsia="Times New Roman" w:hAnsi="Times New Roman" w:cs="Times New Roman"/>
          <w:sz w:val="22"/>
          <w:szCs w:val="22"/>
        </w:rPr>
        <w:t>o de la moda rápida, Shein ha generado miles de empleos globalmente, principalmente en el sector de logística y producción, contribuyendo al crecimiento de la economía global del comercio electrónico (Tech Economy, 2023)</w:t>
      </w:r>
      <w:r>
        <w:rPr>
          <w:rFonts w:ascii="Times New Roman" w:eastAsia="Times New Roman" w:hAnsi="Times New Roman" w:cs="Times New Roman"/>
          <w:sz w:val="22"/>
          <w:szCs w:val="22"/>
          <w:vertAlign w:val="superscript"/>
        </w:rPr>
        <w:footnoteReference w:id="13"/>
      </w:r>
      <w:r>
        <w:rPr>
          <w:rFonts w:ascii="Times New Roman" w:eastAsia="Times New Roman" w:hAnsi="Times New Roman" w:cs="Times New Roman"/>
          <w:sz w:val="22"/>
          <w:szCs w:val="22"/>
        </w:rPr>
        <w:t>​.</w:t>
      </w:r>
    </w:p>
    <w:p w14:paraId="1CE63805" w14:textId="77777777" w:rsidR="004D0443" w:rsidRDefault="004D0443">
      <w:pPr>
        <w:spacing w:line="276" w:lineRule="auto"/>
        <w:ind w:left="720"/>
        <w:jc w:val="both"/>
        <w:rPr>
          <w:rFonts w:ascii="Times New Roman" w:eastAsia="Times New Roman" w:hAnsi="Times New Roman" w:cs="Times New Roman"/>
          <w:sz w:val="22"/>
          <w:szCs w:val="22"/>
        </w:rPr>
      </w:pPr>
    </w:p>
    <w:p w14:paraId="1CE63806" w14:textId="77777777" w:rsidR="004D0443" w:rsidRDefault="00DA3067">
      <w:pPr>
        <w:numPr>
          <w:ilvl w:val="0"/>
          <w:numId w:val="2"/>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Stripe y Revolut: </w:t>
      </w:r>
      <w:r>
        <w:rPr>
          <w:rFonts w:ascii="Times New Roman" w:eastAsia="Times New Roman" w:hAnsi="Times New Roman" w:cs="Times New Roman"/>
          <w:sz w:val="22"/>
          <w:szCs w:val="22"/>
        </w:rPr>
        <w:t>Ambas fintech</w:t>
      </w:r>
      <w:r>
        <w:rPr>
          <w:rFonts w:ascii="Times New Roman" w:eastAsia="Times New Roman" w:hAnsi="Times New Roman" w:cs="Times New Roman"/>
          <w:sz w:val="22"/>
          <w:szCs w:val="22"/>
        </w:rPr>
        <w:t>, valoradas en 50 mil millones y 33 mil millones respectivamente, han tenido un papel fundamental en la transformación de los servicios financieros. Stripe ha revolucionado el procesamiento de pagos en línea, facilitando el crecimiento del comercio digital</w:t>
      </w:r>
      <w:r>
        <w:rPr>
          <w:rFonts w:ascii="Times New Roman" w:eastAsia="Times New Roman" w:hAnsi="Times New Roman" w:cs="Times New Roman"/>
          <w:sz w:val="22"/>
          <w:szCs w:val="22"/>
        </w:rPr>
        <w:t xml:space="preserve"> para pequeñas y grandes empresas. Revolut, por su parte, ha hecho que los servicios financieros sean más accesibles a nivel mundial, permitiendo a los usuarios realizar transacciones en varias divisas de manera eficiente y sin barreras geográficas (Tech E</w:t>
      </w:r>
      <w:r>
        <w:rPr>
          <w:rFonts w:ascii="Times New Roman" w:eastAsia="Times New Roman" w:hAnsi="Times New Roman" w:cs="Times New Roman"/>
          <w:sz w:val="22"/>
          <w:szCs w:val="22"/>
        </w:rPr>
        <w:t>conomy, 2023)</w:t>
      </w:r>
      <w:r>
        <w:rPr>
          <w:rFonts w:ascii="Times New Roman" w:eastAsia="Times New Roman" w:hAnsi="Times New Roman" w:cs="Times New Roman"/>
          <w:sz w:val="22"/>
          <w:szCs w:val="22"/>
          <w:vertAlign w:val="superscript"/>
        </w:rPr>
        <w:footnoteReference w:id="14"/>
      </w:r>
      <w:r>
        <w:rPr>
          <w:rFonts w:ascii="Times New Roman" w:eastAsia="Times New Roman" w:hAnsi="Times New Roman" w:cs="Times New Roman"/>
          <w:sz w:val="22"/>
          <w:szCs w:val="22"/>
        </w:rPr>
        <w:t>. Este tipo de innovaciones no solo facilita el comercio global, sino que también democratiza el acceso a servicios financieros, fortaleciendo la inclusión financiera en todo el mundo​.</w:t>
      </w:r>
    </w:p>
    <w:p w14:paraId="1CE63807" w14:textId="77777777" w:rsidR="004D0443" w:rsidRDefault="004D0443">
      <w:pPr>
        <w:spacing w:line="276" w:lineRule="auto"/>
        <w:ind w:left="720"/>
        <w:jc w:val="both"/>
        <w:rPr>
          <w:rFonts w:ascii="Times New Roman" w:eastAsia="Times New Roman" w:hAnsi="Times New Roman" w:cs="Times New Roman"/>
          <w:sz w:val="22"/>
          <w:szCs w:val="22"/>
        </w:rPr>
      </w:pPr>
    </w:p>
    <w:p w14:paraId="1CE63808" w14:textId="77777777" w:rsidR="004D0443" w:rsidRDefault="00DA3067">
      <w:pPr>
        <w:numPr>
          <w:ilvl w:val="0"/>
          <w:numId w:val="2"/>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Databricks y Epic Games:</w:t>
      </w:r>
      <w:r>
        <w:rPr>
          <w:rFonts w:ascii="Times New Roman" w:eastAsia="Times New Roman" w:hAnsi="Times New Roman" w:cs="Times New Roman"/>
          <w:sz w:val="22"/>
          <w:szCs w:val="22"/>
        </w:rPr>
        <w:t xml:space="preserve"> Databricks, con una valoración</w:t>
      </w:r>
      <w:r>
        <w:rPr>
          <w:rFonts w:ascii="Times New Roman" w:eastAsia="Times New Roman" w:hAnsi="Times New Roman" w:cs="Times New Roman"/>
          <w:sz w:val="22"/>
          <w:szCs w:val="22"/>
        </w:rPr>
        <w:t xml:space="preserve"> de 43 mil millones de dólares, ha potenciado la toma de decisiones basada en datos en diversas industrias, mejorando la eficiencia operativa y la innovación en sectores como la salud y la manufactura. Epic Games, valorada en 31.5 mil millones de dólares, </w:t>
      </w:r>
      <w:r>
        <w:rPr>
          <w:rFonts w:ascii="Times New Roman" w:eastAsia="Times New Roman" w:hAnsi="Times New Roman" w:cs="Times New Roman"/>
          <w:sz w:val="22"/>
          <w:szCs w:val="22"/>
        </w:rPr>
        <w:t>ha revolucionado la industria de los videojuegos y el entretenimiento interactivo, creando nuevas formas de monetización y abriendo oportunidades para el desarrollo de tecnologías de realidad virtual y aumentada (Tech Economy, 2023)​</w:t>
      </w:r>
      <w:r>
        <w:rPr>
          <w:rFonts w:ascii="Times New Roman" w:eastAsia="Times New Roman" w:hAnsi="Times New Roman" w:cs="Times New Roman"/>
          <w:sz w:val="22"/>
          <w:szCs w:val="22"/>
          <w:vertAlign w:val="superscript"/>
        </w:rPr>
        <w:footnoteReference w:id="15"/>
      </w:r>
      <w:r>
        <w:rPr>
          <w:rFonts w:ascii="Times New Roman" w:eastAsia="Times New Roman" w:hAnsi="Times New Roman" w:cs="Times New Roman"/>
          <w:sz w:val="22"/>
          <w:szCs w:val="22"/>
        </w:rPr>
        <w:t>.</w:t>
      </w:r>
    </w:p>
    <w:p w14:paraId="1CE63809" w14:textId="77777777" w:rsidR="004D0443" w:rsidRDefault="004D0443">
      <w:pPr>
        <w:spacing w:line="276" w:lineRule="auto"/>
        <w:jc w:val="both"/>
        <w:rPr>
          <w:rFonts w:ascii="Times New Roman" w:eastAsia="Times New Roman" w:hAnsi="Times New Roman" w:cs="Times New Roman"/>
          <w:sz w:val="22"/>
          <w:szCs w:val="22"/>
        </w:rPr>
      </w:pPr>
    </w:p>
    <w:p w14:paraId="1CE6380A"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Según Celada (2019)</w:t>
      </w:r>
      <w:r>
        <w:rPr>
          <w:rFonts w:ascii="Times New Roman" w:eastAsia="Times New Roman" w:hAnsi="Times New Roman" w:cs="Times New Roman"/>
          <w:sz w:val="22"/>
          <w:szCs w:val="22"/>
        </w:rPr>
        <w:t>, el ecosistema de startups ha experimentado un crecimiento significativo en España, con un incremento superior al 20% en el último año. Para 2017, ya se contaban 3,258 empresas emergentes, concentradas principalmente en Barcelona (34%) y Madrid (31.5%), q</w:t>
      </w:r>
      <w:r>
        <w:rPr>
          <w:rFonts w:ascii="Times New Roman" w:eastAsia="Times New Roman" w:hAnsi="Times New Roman" w:cs="Times New Roman"/>
          <w:sz w:val="22"/>
          <w:szCs w:val="22"/>
        </w:rPr>
        <w:t xml:space="preserve">ue lograron captar cerca de 780 millones de euros en inversión, lo que representó un aumento del 45% </w:t>
      </w:r>
      <w:r>
        <w:rPr>
          <w:rFonts w:ascii="Times New Roman" w:eastAsia="Times New Roman" w:hAnsi="Times New Roman" w:cs="Times New Roman"/>
          <w:sz w:val="22"/>
          <w:szCs w:val="22"/>
        </w:rPr>
        <w:lastRenderedPageBreak/>
        <w:t>respecto al año anterior. Y destaca que la única forma para que sobrevivan las startups es el financiamiento:</w:t>
      </w:r>
    </w:p>
    <w:p w14:paraId="1CE6380B" w14:textId="77777777" w:rsidR="004D0443" w:rsidRDefault="004D0443">
      <w:pPr>
        <w:spacing w:line="276" w:lineRule="auto"/>
        <w:jc w:val="both"/>
        <w:rPr>
          <w:rFonts w:ascii="Times New Roman" w:eastAsia="Times New Roman" w:hAnsi="Times New Roman" w:cs="Times New Roman"/>
          <w:sz w:val="22"/>
          <w:szCs w:val="22"/>
        </w:rPr>
      </w:pPr>
    </w:p>
    <w:p w14:paraId="1CE6380C" w14:textId="77777777" w:rsidR="004D0443" w:rsidRDefault="00DA3067">
      <w:pPr>
        <w:spacing w:line="276" w:lineRule="auto"/>
        <w:ind w:left="566"/>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capital riesgo (Venture Capital) y el pr</w:t>
      </w:r>
      <w:r>
        <w:rPr>
          <w:rFonts w:ascii="Times New Roman" w:eastAsia="Times New Roman" w:hAnsi="Times New Roman" w:cs="Times New Roman"/>
          <w:sz w:val="22"/>
          <w:szCs w:val="22"/>
        </w:rPr>
        <w:t>ivate equity juegan un papel fundamental en la financiación de startups, aportando capital en las primeras fases de crecimiento, lo que permite a las empresas escalar rápidamente” (Celada, 2019)</w:t>
      </w:r>
      <w:r>
        <w:rPr>
          <w:rFonts w:ascii="Times New Roman" w:eastAsia="Times New Roman" w:hAnsi="Times New Roman" w:cs="Times New Roman"/>
          <w:sz w:val="22"/>
          <w:szCs w:val="22"/>
          <w:vertAlign w:val="superscript"/>
        </w:rPr>
        <w:footnoteReference w:id="16"/>
      </w:r>
      <w:r>
        <w:rPr>
          <w:rFonts w:ascii="Times New Roman" w:eastAsia="Times New Roman" w:hAnsi="Times New Roman" w:cs="Times New Roman"/>
          <w:sz w:val="22"/>
          <w:szCs w:val="22"/>
        </w:rPr>
        <w:t>​.</w:t>
      </w:r>
    </w:p>
    <w:p w14:paraId="1CE6380D" w14:textId="77777777" w:rsidR="004D0443" w:rsidRDefault="004D0443">
      <w:pPr>
        <w:spacing w:line="276" w:lineRule="auto"/>
        <w:jc w:val="both"/>
        <w:rPr>
          <w:rFonts w:ascii="Times New Roman" w:eastAsia="Times New Roman" w:hAnsi="Times New Roman" w:cs="Times New Roman"/>
          <w:b/>
          <w:sz w:val="22"/>
          <w:szCs w:val="22"/>
        </w:rPr>
      </w:pPr>
    </w:p>
    <w:p w14:paraId="1CE6380E"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análisis de la autora destaca que para el caso de Espa</w:t>
      </w:r>
      <w:r>
        <w:rPr>
          <w:rFonts w:ascii="Times New Roman" w:eastAsia="Times New Roman" w:hAnsi="Times New Roman" w:cs="Times New Roman"/>
          <w:sz w:val="22"/>
          <w:szCs w:val="22"/>
        </w:rPr>
        <w:t>ña solo el 15% de las startups han logrado sobrevivir, en gran medida debido a errores en la planificación o ejecución de sus modelos de negocio, subsanado eso el financiamiento juega una gran importancia para que la ejecución de los modelos de negocio pue</w:t>
      </w:r>
      <w:r>
        <w:rPr>
          <w:rFonts w:ascii="Times New Roman" w:eastAsia="Times New Roman" w:hAnsi="Times New Roman" w:cs="Times New Roman"/>
          <w:sz w:val="22"/>
          <w:szCs w:val="22"/>
        </w:rPr>
        <w:t xml:space="preserve">dan crecer y desarrollarse en el ambiente financiero.  </w:t>
      </w:r>
    </w:p>
    <w:p w14:paraId="1CE6380F" w14:textId="77777777" w:rsidR="004D0443" w:rsidRDefault="004D0443">
      <w:pPr>
        <w:spacing w:line="276" w:lineRule="auto"/>
        <w:jc w:val="both"/>
        <w:rPr>
          <w:rFonts w:ascii="Times New Roman" w:eastAsia="Times New Roman" w:hAnsi="Times New Roman" w:cs="Times New Roman"/>
          <w:sz w:val="22"/>
          <w:szCs w:val="22"/>
        </w:rPr>
      </w:pPr>
    </w:p>
    <w:p w14:paraId="1CE63810"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Ahora la pregunta es, frente a ese panorama reciente ¿Cúal es el contexto actual sobre las Startups? Para ello, se toma de base el artículo de Bloomberg en Línea “Los 8 cambios que redefinen la reali</w:t>
      </w:r>
      <w:r>
        <w:rPr>
          <w:rFonts w:ascii="Times New Roman" w:eastAsia="Times New Roman" w:hAnsi="Times New Roman" w:cs="Times New Roman"/>
          <w:sz w:val="22"/>
          <w:szCs w:val="22"/>
        </w:rPr>
        <w:t>dad de las startups globales de cara a 2024.”</w:t>
      </w:r>
      <w:r>
        <w:rPr>
          <w:rFonts w:ascii="Times New Roman" w:eastAsia="Times New Roman" w:hAnsi="Times New Roman" w:cs="Times New Roman"/>
          <w:sz w:val="22"/>
          <w:szCs w:val="22"/>
          <w:vertAlign w:val="superscript"/>
        </w:rPr>
        <w:footnoteReference w:id="17"/>
      </w:r>
      <w:r>
        <w:rPr>
          <w:rFonts w:ascii="Times New Roman" w:eastAsia="Times New Roman" w:hAnsi="Times New Roman" w:cs="Times New Roman"/>
          <w:sz w:val="22"/>
          <w:szCs w:val="22"/>
        </w:rPr>
        <w:t xml:space="preserve"> Como idea inicial el autor argumenta que en 2023, el capital de riesgo global experimentó un retroceso significativo, lo que ha llevado a los inversores a centrar su atención en los mercados emergentes. Según </w:t>
      </w:r>
      <w:r>
        <w:rPr>
          <w:rFonts w:ascii="Times New Roman" w:eastAsia="Times New Roman" w:hAnsi="Times New Roman" w:cs="Times New Roman"/>
          <w:sz w:val="22"/>
          <w:szCs w:val="22"/>
        </w:rPr>
        <w:t>el informe de Endeavour Catalyst, este retroceso es considerado como un "regreso a la normalidad" después de los picos observados durante la pandemia. Cambio el cual menciona el autor que lleva a los dueños de las Startups a redefinir sus prioridades:</w:t>
      </w:r>
    </w:p>
    <w:p w14:paraId="1CE63811" w14:textId="77777777" w:rsidR="004D0443" w:rsidRDefault="004D0443">
      <w:pPr>
        <w:spacing w:line="276" w:lineRule="auto"/>
        <w:jc w:val="both"/>
        <w:rPr>
          <w:rFonts w:ascii="Times New Roman" w:eastAsia="Times New Roman" w:hAnsi="Times New Roman" w:cs="Times New Roman"/>
          <w:sz w:val="22"/>
          <w:szCs w:val="22"/>
        </w:rPr>
      </w:pPr>
    </w:p>
    <w:p w14:paraId="1CE63812" w14:textId="77777777" w:rsidR="004D0443" w:rsidRDefault="00DA3067">
      <w:pPr>
        <w:spacing w:line="276" w:lineRule="auto"/>
        <w:ind w:left="566"/>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Fundadores e inversores han vuelto a centrarse en los principios fundamentales, como la eficiencia del capital y los modelos de negocio rentables, especialmente al planificar nuevas rondas de capital (Salazar, 2024)​</w:t>
      </w:r>
      <w:r>
        <w:rPr>
          <w:rFonts w:ascii="Times New Roman" w:eastAsia="Times New Roman" w:hAnsi="Times New Roman" w:cs="Times New Roman"/>
          <w:sz w:val="22"/>
          <w:szCs w:val="22"/>
          <w:vertAlign w:val="superscript"/>
        </w:rPr>
        <w:footnoteReference w:id="18"/>
      </w:r>
      <w:r>
        <w:rPr>
          <w:rFonts w:ascii="Times New Roman" w:eastAsia="Times New Roman" w:hAnsi="Times New Roman" w:cs="Times New Roman"/>
          <w:sz w:val="22"/>
          <w:szCs w:val="22"/>
        </w:rPr>
        <w:t xml:space="preserve">. </w:t>
      </w:r>
    </w:p>
    <w:p w14:paraId="1CE63813" w14:textId="77777777" w:rsidR="004D0443" w:rsidRDefault="004D0443">
      <w:pPr>
        <w:spacing w:line="276" w:lineRule="auto"/>
        <w:ind w:left="566"/>
        <w:jc w:val="both"/>
        <w:rPr>
          <w:rFonts w:ascii="Times New Roman" w:eastAsia="Times New Roman" w:hAnsi="Times New Roman" w:cs="Times New Roman"/>
          <w:sz w:val="22"/>
          <w:szCs w:val="22"/>
        </w:rPr>
      </w:pPr>
    </w:p>
    <w:p w14:paraId="1CE63814" w14:textId="77777777" w:rsidR="004D0443" w:rsidRDefault="00DA3067">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t>Y encuentra una oportunidad clave e</w:t>
      </w:r>
      <w:r>
        <w:rPr>
          <w:rFonts w:ascii="Times New Roman" w:eastAsia="Times New Roman" w:hAnsi="Times New Roman" w:cs="Times New Roman"/>
          <w:sz w:val="22"/>
          <w:szCs w:val="22"/>
        </w:rPr>
        <w:t xml:space="preserve">n el desarrollo de Inteligencia artificial, pues menciona que sigue siendo un punto brillante en el panorama de inversión, a pesar de las reducciones en la financiación </w:t>
      </w:r>
      <w:r>
        <w:rPr>
          <w:rFonts w:ascii="Times New Roman" w:eastAsia="Times New Roman" w:hAnsi="Times New Roman" w:cs="Times New Roman"/>
          <w:sz w:val="22"/>
          <w:szCs w:val="22"/>
        </w:rPr>
        <w:lastRenderedPageBreak/>
        <w:t>de riesgo en 2023. El sector de la IA atrajo inversiones significativas y mostró una te</w:t>
      </w:r>
      <w:r>
        <w:rPr>
          <w:rFonts w:ascii="Times New Roman" w:eastAsia="Times New Roman" w:hAnsi="Times New Roman" w:cs="Times New Roman"/>
          <w:sz w:val="22"/>
          <w:szCs w:val="22"/>
        </w:rPr>
        <w:t>ndencia al alza año tras año. Por último, a modo de conclusión el autor menciona que en el contexto actual, el fracaso de startups es cada vez más aceptado y menos castigado, especialmente en un entorno donde muchas de ellas luchan por monetizar y financia</w:t>
      </w:r>
      <w:r>
        <w:rPr>
          <w:rFonts w:ascii="Times New Roman" w:eastAsia="Times New Roman" w:hAnsi="Times New Roman" w:cs="Times New Roman"/>
          <w:sz w:val="22"/>
          <w:szCs w:val="22"/>
        </w:rPr>
        <w:t>r sus operaciones. Las tasas de mortalidad empresarial, tradicionalmente altas, se han amplificado (Salazar, 2024)​</w:t>
      </w:r>
      <w:r>
        <w:rPr>
          <w:rFonts w:ascii="Times New Roman" w:eastAsia="Times New Roman" w:hAnsi="Times New Roman" w:cs="Times New Roman"/>
          <w:sz w:val="22"/>
          <w:szCs w:val="22"/>
          <w:vertAlign w:val="superscript"/>
        </w:rPr>
        <w:footnoteReference w:id="19"/>
      </w:r>
      <w:r>
        <w:rPr>
          <w:rFonts w:ascii="Times New Roman" w:eastAsia="Times New Roman" w:hAnsi="Times New Roman" w:cs="Times New Roman"/>
          <w:sz w:val="22"/>
          <w:szCs w:val="22"/>
        </w:rPr>
        <w:t xml:space="preserve">. </w:t>
      </w:r>
    </w:p>
    <w:p w14:paraId="1CE63815" w14:textId="77777777" w:rsidR="004D0443" w:rsidRDefault="004D0443">
      <w:pPr>
        <w:spacing w:line="276" w:lineRule="auto"/>
        <w:jc w:val="both"/>
        <w:rPr>
          <w:rFonts w:ascii="Times New Roman" w:eastAsia="Times New Roman" w:hAnsi="Times New Roman" w:cs="Times New Roman"/>
          <w:b/>
          <w:sz w:val="22"/>
          <w:szCs w:val="22"/>
        </w:rPr>
      </w:pPr>
    </w:p>
    <w:p w14:paraId="1CE63816"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 modo de conclusión del apartado las startups han evolucionado hasta convertirse en actores cruciales en la economía global del siglo X</w:t>
      </w:r>
      <w:r>
        <w:rPr>
          <w:rFonts w:ascii="Times New Roman" w:eastAsia="Times New Roman" w:hAnsi="Times New Roman" w:cs="Times New Roman"/>
          <w:sz w:val="22"/>
          <w:szCs w:val="22"/>
        </w:rPr>
        <w:t>XI. Ya no son percibidas únicamente como empresas de alto riesgo, sino como motores de innovación capaces de transformar industrias enteras. La capacidad de desarrollar productos y servicios disruptivos ha permitido a estas jóvenes empresas cimentar su rol</w:t>
      </w:r>
      <w:r>
        <w:rPr>
          <w:rFonts w:ascii="Times New Roman" w:eastAsia="Times New Roman" w:hAnsi="Times New Roman" w:cs="Times New Roman"/>
          <w:sz w:val="22"/>
          <w:szCs w:val="22"/>
        </w:rPr>
        <w:t xml:space="preserve"> en el crecimiento económico mundial. Sectores como la tecnología, las fintech y las ciencias de la vida se han beneficiado enormemente de su influencia, lo que resalta la importancia de estas compañías en el ecosistema de innovación. Además, el impacto de</w:t>
      </w:r>
      <w:r>
        <w:rPr>
          <w:rFonts w:ascii="Times New Roman" w:eastAsia="Times New Roman" w:hAnsi="Times New Roman" w:cs="Times New Roman"/>
          <w:sz w:val="22"/>
          <w:szCs w:val="22"/>
        </w:rPr>
        <w:t xml:space="preserve"> gigantes como ByteDance, SpaceX y Shein en sus respectivos sectores muestra el poder que tienen para generar cambios profundos a nivel económico y social. A medida que las startups continúan creciendo, la eficiencia de capital y el aprovechamiento de tecn</w:t>
      </w:r>
      <w:r>
        <w:rPr>
          <w:rFonts w:ascii="Times New Roman" w:eastAsia="Times New Roman" w:hAnsi="Times New Roman" w:cs="Times New Roman"/>
          <w:sz w:val="22"/>
          <w:szCs w:val="22"/>
        </w:rPr>
        <w:t>ologías emergentes como la inteligencia artificial serán fundamentales para su éxito futuro en un entorno global cada vez más competitivo.</w:t>
      </w:r>
    </w:p>
    <w:p w14:paraId="1CE63817" w14:textId="77777777" w:rsidR="004D0443" w:rsidRDefault="00DA3067">
      <w:pPr>
        <w:spacing w:before="240" w:after="240" w:line="276"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2.3. Referentes internacionales: Brasil, México y España.</w:t>
      </w:r>
    </w:p>
    <w:p w14:paraId="1CE63818"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Brasil ha adoptado un enfoque integral para fomentar la innovación y apoyar a las startups, siendo uno de los países líderes en América Latina en cuanto a desarrollo tecnológico. La sanción del Marco Legal de las Startups, a través de la Ley Complementaria</w:t>
      </w:r>
      <w:r>
        <w:rPr>
          <w:rFonts w:ascii="Times New Roman" w:eastAsia="Times New Roman" w:hAnsi="Times New Roman" w:cs="Times New Roman"/>
          <w:sz w:val="22"/>
          <w:szCs w:val="22"/>
        </w:rPr>
        <w:t xml:space="preserve"> n.º 182/2021, ha representado un paso significativo para mejorar el entorno empresarial en el país. Este marco tiene como objetivo facilitar el crecimiento de las startups mediante la creación de un ambiente normativo más flexible y adaptado a las necesid</w:t>
      </w:r>
      <w:r>
        <w:rPr>
          <w:rFonts w:ascii="Times New Roman" w:eastAsia="Times New Roman" w:hAnsi="Times New Roman" w:cs="Times New Roman"/>
          <w:sz w:val="22"/>
          <w:szCs w:val="22"/>
        </w:rPr>
        <w:t>ades de estas empresas. Un aspecto clave es el acceso simplificado a contratos con el gobierno, lo que les permite competir por proyectos públicos, acelerando su expansión y consolidación en el mercado (Ministerio de Ciencia, Tecnología e Innovación, 2021)</w:t>
      </w:r>
      <w:r>
        <w:rPr>
          <w:rFonts w:ascii="Times New Roman" w:eastAsia="Times New Roman" w:hAnsi="Times New Roman" w:cs="Times New Roman"/>
          <w:sz w:val="22"/>
          <w:szCs w:val="22"/>
          <w:vertAlign w:val="superscript"/>
        </w:rPr>
        <w:footnoteReference w:id="20"/>
      </w:r>
      <w:r>
        <w:rPr>
          <w:rFonts w:ascii="Times New Roman" w:eastAsia="Times New Roman" w:hAnsi="Times New Roman" w:cs="Times New Roman"/>
          <w:sz w:val="22"/>
          <w:szCs w:val="22"/>
        </w:rPr>
        <w:t>​.</w:t>
      </w:r>
    </w:p>
    <w:p w14:paraId="1CE63819"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Este marco también fomenta la participación de inversores mediante la simplificación de los procedimientos administrativos y la reducción de cargas fiscales, lo que contribuye al acceso a </w:t>
      </w:r>
      <w:r>
        <w:rPr>
          <w:rFonts w:ascii="Times New Roman" w:eastAsia="Times New Roman" w:hAnsi="Times New Roman" w:cs="Times New Roman"/>
          <w:sz w:val="22"/>
          <w:szCs w:val="22"/>
        </w:rPr>
        <w:lastRenderedPageBreak/>
        <w:t>financiamiento. Las plataformas de crowdfunding y otros mecanism</w:t>
      </w:r>
      <w:r>
        <w:rPr>
          <w:rFonts w:ascii="Times New Roman" w:eastAsia="Times New Roman" w:hAnsi="Times New Roman" w:cs="Times New Roman"/>
          <w:sz w:val="22"/>
          <w:szCs w:val="22"/>
        </w:rPr>
        <w:t>os de inversión han sido regulados para permitir a las startups captar fondos de forma eficiente, lo que ha incrementado la inversión en sectores emergentes como las fintech, healthtech y agrotech. De esta manera, el marco legal no solo busca impulsar la c</w:t>
      </w:r>
      <w:r>
        <w:rPr>
          <w:rFonts w:ascii="Times New Roman" w:eastAsia="Times New Roman" w:hAnsi="Times New Roman" w:cs="Times New Roman"/>
          <w:sz w:val="22"/>
          <w:szCs w:val="22"/>
        </w:rPr>
        <w:t>reación de startups, sino que también promueve un ambiente propicio para la innovación tecnológica y la modernización económica de Brasil (Boletim Diário MCTI, 2022)</w:t>
      </w:r>
      <w:r>
        <w:rPr>
          <w:rFonts w:ascii="Times New Roman" w:eastAsia="Times New Roman" w:hAnsi="Times New Roman" w:cs="Times New Roman"/>
          <w:sz w:val="22"/>
          <w:szCs w:val="22"/>
          <w:vertAlign w:val="superscript"/>
        </w:rPr>
        <w:footnoteReference w:id="21"/>
      </w:r>
      <w:r>
        <w:rPr>
          <w:rFonts w:ascii="Times New Roman" w:eastAsia="Times New Roman" w:hAnsi="Times New Roman" w:cs="Times New Roman"/>
          <w:sz w:val="22"/>
          <w:szCs w:val="22"/>
        </w:rPr>
        <w:t>​.</w:t>
      </w:r>
    </w:p>
    <w:p w14:paraId="1CE6381A"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Un elemento fundamental dentro de este ecosistema es el sandbox regulatorio, implementa</w:t>
      </w:r>
      <w:r>
        <w:rPr>
          <w:rFonts w:ascii="Times New Roman" w:eastAsia="Times New Roman" w:hAnsi="Times New Roman" w:cs="Times New Roman"/>
          <w:sz w:val="22"/>
          <w:szCs w:val="22"/>
        </w:rPr>
        <w:t>do por el Banco Central de Brasil en 2020. Este entorno de prueba controlado permite a las empresas fintech experimentar con productos y servicios innovadores bajo un marco normativo flexible y supervisado. El sandbox regula productos financieros digitales</w:t>
      </w:r>
      <w:r>
        <w:rPr>
          <w:rFonts w:ascii="Times New Roman" w:eastAsia="Times New Roman" w:hAnsi="Times New Roman" w:cs="Times New Roman"/>
          <w:sz w:val="22"/>
          <w:szCs w:val="22"/>
        </w:rPr>
        <w:t xml:space="preserve"> sin las restricciones normativas tradicionales, lo que ha permitido a las empresas explorar nuevas tecnologías como la blockchain, la inteligencia artificial y el Internet de las Cosas (IoT). Este entorno ha sido esencial para el crecimiento de startups c</w:t>
      </w:r>
      <w:r>
        <w:rPr>
          <w:rFonts w:ascii="Times New Roman" w:eastAsia="Times New Roman" w:hAnsi="Times New Roman" w:cs="Times New Roman"/>
          <w:sz w:val="22"/>
          <w:szCs w:val="22"/>
        </w:rPr>
        <w:t>omo Neon y Dock, que se han convertido en unicornios gracias a su capacidad para innovar en este espacio controlado (Ferrarezi, 2023)​</w:t>
      </w:r>
      <w:r>
        <w:rPr>
          <w:rFonts w:ascii="Times New Roman" w:eastAsia="Times New Roman" w:hAnsi="Times New Roman" w:cs="Times New Roman"/>
          <w:sz w:val="22"/>
          <w:szCs w:val="22"/>
          <w:vertAlign w:val="superscript"/>
        </w:rPr>
        <w:footnoteReference w:id="22"/>
      </w:r>
      <w:r>
        <w:rPr>
          <w:rFonts w:ascii="Times New Roman" w:eastAsia="Times New Roman" w:hAnsi="Times New Roman" w:cs="Times New Roman"/>
          <w:sz w:val="22"/>
          <w:szCs w:val="22"/>
        </w:rPr>
        <w:t>.</w:t>
      </w:r>
    </w:p>
    <w:p w14:paraId="1CE6381B" w14:textId="77777777" w:rsidR="004D0443" w:rsidRDefault="00DA3067">
      <w:pPr>
        <w:spacing w:before="240" w:after="24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2"/>
          <w:szCs w:val="22"/>
          <w:lang w:val="es-CO"/>
        </w:rPr>
        <w:lastRenderedPageBreak/>
        <w:drawing>
          <wp:inline distT="114300" distB="114300" distL="114300" distR="114300" wp14:anchorId="1CE639FD" wp14:editId="1CE639FE">
            <wp:extent cx="5612400" cy="4191000"/>
            <wp:effectExtent l="0" t="0" r="0" b="0"/>
            <wp:docPr id="13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10"/>
                    <a:srcRect/>
                    <a:stretch>
                      <a:fillRect/>
                    </a:stretch>
                  </pic:blipFill>
                  <pic:spPr>
                    <a:xfrm>
                      <a:off x="0" y="0"/>
                      <a:ext cx="5612400" cy="4191000"/>
                    </a:xfrm>
                    <a:prstGeom prst="rect">
                      <a:avLst/>
                    </a:prstGeom>
                    <a:ln/>
                  </pic:spPr>
                </pic:pic>
              </a:graphicData>
            </a:graphic>
          </wp:inline>
        </w:drawing>
      </w:r>
      <w:r>
        <w:rPr>
          <w:rFonts w:ascii="Times New Roman" w:eastAsia="Times New Roman" w:hAnsi="Times New Roman" w:cs="Times New Roman"/>
          <w:sz w:val="20"/>
          <w:szCs w:val="20"/>
        </w:rPr>
        <w:t xml:space="preserve"> Imagen 2: Países con mayo número de Fintech Locales.</w:t>
      </w:r>
      <w:r>
        <w:rPr>
          <w:rFonts w:ascii="Times New Roman" w:eastAsia="Times New Roman" w:hAnsi="Times New Roman" w:cs="Times New Roman"/>
          <w:sz w:val="20"/>
          <w:szCs w:val="20"/>
        </w:rPr>
        <w:br/>
        <w:t>Fuente: Bloomberg en Línea, 2023</w:t>
      </w:r>
      <w:r>
        <w:rPr>
          <w:rFonts w:ascii="Times New Roman" w:eastAsia="Times New Roman" w:hAnsi="Times New Roman" w:cs="Times New Roman"/>
          <w:sz w:val="20"/>
          <w:szCs w:val="20"/>
          <w:vertAlign w:val="superscript"/>
        </w:rPr>
        <w:footnoteReference w:id="23"/>
      </w:r>
    </w:p>
    <w:p w14:paraId="1CE6381C"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Además de fomentar el crecimie</w:t>
      </w:r>
      <w:r>
        <w:rPr>
          <w:rFonts w:ascii="Times New Roman" w:eastAsia="Times New Roman" w:hAnsi="Times New Roman" w:cs="Times New Roman"/>
          <w:sz w:val="22"/>
          <w:szCs w:val="22"/>
        </w:rPr>
        <w:t>nto del sector fintech, el sandbox regulatorio también ha servido en Brasil como una herramienta clave para que los reguladores comprendan mejor las tecnologías emergentes y puedan adaptar las normativas para proteger a los consumidores y mantener la estab</w:t>
      </w:r>
      <w:r>
        <w:rPr>
          <w:rFonts w:ascii="Times New Roman" w:eastAsia="Times New Roman" w:hAnsi="Times New Roman" w:cs="Times New Roman"/>
          <w:sz w:val="22"/>
          <w:szCs w:val="22"/>
        </w:rPr>
        <w:t>ilidad del mercado. Este enfoque ha creado un equilibrio crucial entre la innovación y la regulación, lo que ha permitido a Brasil posicionarse como un referente en la regulación de tecnologías emergentes en América Latina. También, como lo expone Ferrarez</w:t>
      </w:r>
      <w:r>
        <w:rPr>
          <w:rFonts w:ascii="Times New Roman" w:eastAsia="Times New Roman" w:hAnsi="Times New Roman" w:cs="Times New Roman"/>
          <w:sz w:val="22"/>
          <w:szCs w:val="22"/>
        </w:rPr>
        <w:t xml:space="preserve">i (2023) ha sido </w:t>
      </w:r>
      <w:r>
        <w:rPr>
          <w:rFonts w:ascii="Times New Roman" w:eastAsia="Times New Roman" w:hAnsi="Times New Roman" w:cs="Times New Roman"/>
          <w:sz w:val="22"/>
          <w:szCs w:val="22"/>
        </w:rPr>
        <w:lastRenderedPageBreak/>
        <w:t>pionero en la regulación de criptomonedas con la aprobación de la Ley del Bitcoin en 2021 que proporcionó un marco jurídico claro para las transacciones con criptomonedas y otros activos digitales, regulando tanto a los emisores de criptoa</w:t>
      </w:r>
      <w:r>
        <w:rPr>
          <w:rFonts w:ascii="Times New Roman" w:eastAsia="Times New Roman" w:hAnsi="Times New Roman" w:cs="Times New Roman"/>
          <w:sz w:val="22"/>
          <w:szCs w:val="22"/>
        </w:rPr>
        <w:t>ctivos como a los proveedores de servicios. Esta ley fue diseñada para ofrecer seguridad jurídica a los inversores y usuarios, protegiendo sus derechos y estableciendo una mayor transparencia en el mercado de criptoactivos. Este enfoque ha permitido que el</w:t>
      </w:r>
      <w:r>
        <w:rPr>
          <w:rFonts w:ascii="Times New Roman" w:eastAsia="Times New Roman" w:hAnsi="Times New Roman" w:cs="Times New Roman"/>
          <w:sz w:val="22"/>
          <w:szCs w:val="22"/>
        </w:rPr>
        <w:t xml:space="preserve"> ecosistema fintech brasileño siga creciendo, atrayendo inversiones y fortaleciendo la economía digital del país.</w:t>
      </w:r>
    </w:p>
    <w:p w14:paraId="1CE6381D"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Por su parte, México se ha convertido en un referente global en la regulación de fintech, gracias a la promulgación de la Ley para Regular las</w:t>
      </w:r>
      <w:r>
        <w:rPr>
          <w:rFonts w:ascii="Times New Roman" w:eastAsia="Times New Roman" w:hAnsi="Times New Roman" w:cs="Times New Roman"/>
          <w:sz w:val="22"/>
          <w:szCs w:val="22"/>
        </w:rPr>
        <w:t xml:space="preserve"> Instituciones de Tecnología Financiera en 2018. Esta ley, conocida como Ley Fintech, fue pionera en Latinoamérica y tiene como objetivo fomentar la innovación, la inclusión financiera y la protección al consumidor, regulando aspectos clave del ecosistema </w:t>
      </w:r>
      <w:r>
        <w:rPr>
          <w:rFonts w:ascii="Times New Roman" w:eastAsia="Times New Roman" w:hAnsi="Times New Roman" w:cs="Times New Roman"/>
          <w:sz w:val="22"/>
          <w:szCs w:val="22"/>
        </w:rPr>
        <w:t>fintech, como las plataformas de pago, el financiamiento colectivo y los activos virtuales. La Ley Fintech se basa en tres pilares clave: la transparencia, la seguridad y la promoción de la competencia. En primer lugar, establece un marco normativo para la</w:t>
      </w:r>
      <w:r>
        <w:rPr>
          <w:rFonts w:ascii="Times New Roman" w:eastAsia="Times New Roman" w:hAnsi="Times New Roman" w:cs="Times New Roman"/>
          <w:sz w:val="22"/>
          <w:szCs w:val="22"/>
        </w:rPr>
        <w:t>s instituciones de fondos de pago electrónico (IFPE) y las instituciones de financiamiento colectivo (IFC). Estas figuras permiten a las fintech operar de forma regulada, lo que ha facilitado la entrada de nuevas empresas al mercado y ha promovido la compe</w:t>
      </w:r>
      <w:r>
        <w:rPr>
          <w:rFonts w:ascii="Times New Roman" w:eastAsia="Times New Roman" w:hAnsi="Times New Roman" w:cs="Times New Roman"/>
          <w:sz w:val="22"/>
          <w:szCs w:val="22"/>
        </w:rPr>
        <w:t>tencia con instituciones financieras tradicionales. La ley también regula el uso de activos virtuales (como las criptomonedas), que solo pueden ser operados por instituciones autorizadas y bajo supervisión del Banco de México (Gobierno de México, 2021)</w:t>
      </w:r>
      <w:r>
        <w:rPr>
          <w:rFonts w:ascii="Times New Roman" w:eastAsia="Times New Roman" w:hAnsi="Times New Roman" w:cs="Times New Roman"/>
          <w:sz w:val="22"/>
          <w:szCs w:val="22"/>
          <w:vertAlign w:val="superscript"/>
        </w:rPr>
        <w:footnoteReference w:id="24"/>
      </w:r>
      <w:r>
        <w:rPr>
          <w:rFonts w:ascii="Times New Roman" w:eastAsia="Times New Roman" w:hAnsi="Times New Roman" w:cs="Times New Roman"/>
          <w:sz w:val="22"/>
          <w:szCs w:val="22"/>
        </w:rPr>
        <w:t>.</w:t>
      </w:r>
    </w:p>
    <w:p w14:paraId="1CE6381E"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D</w:t>
      </w:r>
      <w:r>
        <w:rPr>
          <w:rFonts w:ascii="Times New Roman" w:eastAsia="Times New Roman" w:hAnsi="Times New Roman" w:cs="Times New Roman"/>
          <w:sz w:val="22"/>
          <w:szCs w:val="22"/>
        </w:rPr>
        <w:t xml:space="preserve">esde su implementación, la Ley Fintech ha impulsado el crecimiento de startups innovadoras como Kavak y Stori, que han aprovechado este marco regulatorio para expandir sus operaciones y atraer inversión. Esta ley no solo ha creado un entorno propicio para </w:t>
      </w:r>
      <w:r>
        <w:rPr>
          <w:rFonts w:ascii="Times New Roman" w:eastAsia="Times New Roman" w:hAnsi="Times New Roman" w:cs="Times New Roman"/>
          <w:sz w:val="22"/>
          <w:szCs w:val="22"/>
        </w:rPr>
        <w:t>el surgimiento de nuevos actores en el sector financiero, sino que también ha permitido a empresas enfocadas en la digitalización de servicios financieros acceder a más usuarios, especialmente en áreas rurales con poca penetración bancaria. El éxito de est</w:t>
      </w:r>
      <w:r>
        <w:rPr>
          <w:rFonts w:ascii="Times New Roman" w:eastAsia="Times New Roman" w:hAnsi="Times New Roman" w:cs="Times New Roman"/>
          <w:sz w:val="22"/>
          <w:szCs w:val="22"/>
        </w:rPr>
        <w:t>a legislación según lo que menciona el autor del artículo  ha fortalecido a México como líder en el sector fintech en la región. Además, ha inspirado a otros países latinoamericanos como Chile y Colombia a desarrollar marcos regulatorios similares, orienta</w:t>
      </w:r>
      <w:r>
        <w:rPr>
          <w:rFonts w:ascii="Times New Roman" w:eastAsia="Times New Roman" w:hAnsi="Times New Roman" w:cs="Times New Roman"/>
          <w:sz w:val="22"/>
          <w:szCs w:val="22"/>
        </w:rPr>
        <w:t xml:space="preserve">dos a promover la innovación y proteger al consumidor. La ley ha sido un catalizador para la adopción de open banking y la creación de sandbox regulatorios, lo que permite a las startups probar nuevos </w:t>
      </w:r>
      <w:r>
        <w:rPr>
          <w:rFonts w:ascii="Times New Roman" w:eastAsia="Times New Roman" w:hAnsi="Times New Roman" w:cs="Times New Roman"/>
          <w:sz w:val="22"/>
          <w:szCs w:val="22"/>
        </w:rPr>
        <w:lastRenderedPageBreak/>
        <w:t>modelos de negocio en un entorno supervisado antes de c</w:t>
      </w:r>
      <w:r>
        <w:rPr>
          <w:rFonts w:ascii="Times New Roman" w:eastAsia="Times New Roman" w:hAnsi="Times New Roman" w:cs="Times New Roman"/>
          <w:sz w:val="22"/>
          <w:szCs w:val="22"/>
        </w:rPr>
        <w:t>umplir con todos los requisitos regulatorios (Legal Paradox, 2024)​</w:t>
      </w:r>
      <w:r>
        <w:rPr>
          <w:rFonts w:ascii="Times New Roman" w:eastAsia="Times New Roman" w:hAnsi="Times New Roman" w:cs="Times New Roman"/>
          <w:sz w:val="22"/>
          <w:szCs w:val="22"/>
          <w:vertAlign w:val="superscript"/>
        </w:rPr>
        <w:footnoteReference w:id="25"/>
      </w:r>
      <w:r>
        <w:rPr>
          <w:rFonts w:ascii="Times New Roman" w:eastAsia="Times New Roman" w:hAnsi="Times New Roman" w:cs="Times New Roman"/>
          <w:sz w:val="22"/>
          <w:szCs w:val="22"/>
        </w:rPr>
        <w:t>.</w:t>
      </w:r>
    </w:p>
    <w:p w14:paraId="1CE6381F"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España se creó la Ley 28/2022, aprobada el 21 de diciembre de 2022, tiene como objetivo fomentar la creación y crecimiento de startups en España, estableciendo un marco regulador específico para estas empresas emergentes, especialmente aquellas con un a</w:t>
      </w:r>
      <w:r>
        <w:rPr>
          <w:rFonts w:ascii="Times New Roman" w:eastAsia="Times New Roman" w:hAnsi="Times New Roman" w:cs="Times New Roman"/>
          <w:sz w:val="22"/>
          <w:szCs w:val="22"/>
        </w:rPr>
        <w:t>lto componente de innovación tecnológica. La normativa define las startups como empresas de reciente creación, con sede en España, que no han distribuido dividendos, y cuya actividad principal debe ser innovadora y con un modelo de negocio escalable. Las e</w:t>
      </w:r>
      <w:r>
        <w:rPr>
          <w:rFonts w:ascii="Times New Roman" w:eastAsia="Times New Roman" w:hAnsi="Times New Roman" w:cs="Times New Roman"/>
          <w:sz w:val="22"/>
          <w:szCs w:val="22"/>
        </w:rPr>
        <w:t>mpresas pueden beneficiarse de esta ley durante los primeros cinco años (o siete para sectores estratégicos como biotecnología o energía), siempre y cuando cumplan con los requisitos establecidos, entre ellos tener al menos el 60% de la plantilla contratad</w:t>
      </w:r>
      <w:r>
        <w:rPr>
          <w:rFonts w:ascii="Times New Roman" w:eastAsia="Times New Roman" w:hAnsi="Times New Roman" w:cs="Times New Roman"/>
          <w:sz w:val="22"/>
          <w:szCs w:val="22"/>
        </w:rPr>
        <w:t>a en España (BOE, 2022)</w:t>
      </w:r>
      <w:r>
        <w:rPr>
          <w:rFonts w:ascii="Times New Roman" w:eastAsia="Times New Roman" w:hAnsi="Times New Roman" w:cs="Times New Roman"/>
          <w:sz w:val="22"/>
          <w:szCs w:val="22"/>
          <w:vertAlign w:val="superscript"/>
        </w:rPr>
        <w:footnoteReference w:id="26"/>
      </w:r>
      <w:r>
        <w:rPr>
          <w:rFonts w:ascii="Times New Roman" w:eastAsia="Times New Roman" w:hAnsi="Times New Roman" w:cs="Times New Roman"/>
          <w:sz w:val="22"/>
          <w:szCs w:val="22"/>
        </w:rPr>
        <w:t>.</w:t>
      </w:r>
    </w:p>
    <w:p w14:paraId="1CE63820"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Entre los principales beneficios de la ley se encuentran los incentivos fiscales, como la reducción del Impuesto de Sociedades al 15% durante los primeros cuatro años de actividad y el aplazamiento de deudas tributarias durante lo</w:t>
      </w:r>
      <w:r>
        <w:rPr>
          <w:rFonts w:ascii="Times New Roman" w:eastAsia="Times New Roman" w:hAnsi="Times New Roman" w:cs="Times New Roman"/>
          <w:sz w:val="22"/>
          <w:szCs w:val="22"/>
        </w:rPr>
        <w:t>s dos primeros. Asimismo, se mejora la fiscalidad de las stock options, permitiendo a los empleados de startups recibir acciones con una exención fiscal de hasta 50.000 euros anuales. Estos incentivos buscan facilitar el crecimiento de estas empresas en su</w:t>
      </w:r>
      <w:r>
        <w:rPr>
          <w:rFonts w:ascii="Times New Roman" w:eastAsia="Times New Roman" w:hAnsi="Times New Roman" w:cs="Times New Roman"/>
          <w:sz w:val="22"/>
          <w:szCs w:val="22"/>
        </w:rPr>
        <w:t>s etapas iniciales y atraer talento cualificado, tanto nacional como internacional. En ese sentido, la ley introduce también el visado para "nómadas digitales" y flexibiliza las condiciones de residencia para profesionales y emprendedores extranjeros, faci</w:t>
      </w:r>
      <w:r>
        <w:rPr>
          <w:rFonts w:ascii="Times New Roman" w:eastAsia="Times New Roman" w:hAnsi="Times New Roman" w:cs="Times New Roman"/>
          <w:sz w:val="22"/>
          <w:szCs w:val="22"/>
        </w:rPr>
        <w:t>litando su incorporación al ecosistema de startups en España (BOE, 2022)</w:t>
      </w:r>
      <w:r>
        <w:rPr>
          <w:rFonts w:ascii="Times New Roman" w:eastAsia="Times New Roman" w:hAnsi="Times New Roman" w:cs="Times New Roman"/>
          <w:sz w:val="22"/>
          <w:szCs w:val="22"/>
          <w:vertAlign w:val="superscript"/>
        </w:rPr>
        <w:footnoteReference w:id="27"/>
      </w:r>
      <w:r>
        <w:rPr>
          <w:rFonts w:ascii="Times New Roman" w:eastAsia="Times New Roman" w:hAnsi="Times New Roman" w:cs="Times New Roman"/>
          <w:sz w:val="22"/>
          <w:szCs w:val="22"/>
          <w:vertAlign w:val="superscript"/>
        </w:rPr>
        <w:footnoteReference w:id="28"/>
      </w:r>
      <w:r>
        <w:rPr>
          <w:rFonts w:ascii="Times New Roman" w:eastAsia="Times New Roman" w:hAnsi="Times New Roman" w:cs="Times New Roman"/>
          <w:sz w:val="22"/>
          <w:szCs w:val="22"/>
        </w:rPr>
        <w:t>.</w:t>
      </w:r>
    </w:p>
    <w:p w14:paraId="1CE63821"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Otro aspecto destacado de la ley es su enfoque en la atracción de inversión extranjera. Se incrementa la deducción por inversión en startups del 30% al 50%, con un máximo de 100.00</w:t>
      </w:r>
      <w:r>
        <w:rPr>
          <w:rFonts w:ascii="Times New Roman" w:eastAsia="Times New Roman" w:hAnsi="Times New Roman" w:cs="Times New Roman"/>
          <w:sz w:val="22"/>
          <w:szCs w:val="22"/>
        </w:rPr>
        <w:t>0 euros anuales, y se simplifican los trámites administrativos para inversores no residentes. Además, la ley promueve el desarrollo de polos de innovación en áreas rurales, buscando generar oportunidades fuera de los grandes centros urbanos y reducir la de</w:t>
      </w:r>
      <w:r>
        <w:rPr>
          <w:rFonts w:ascii="Times New Roman" w:eastAsia="Times New Roman" w:hAnsi="Times New Roman" w:cs="Times New Roman"/>
          <w:sz w:val="22"/>
          <w:szCs w:val="22"/>
        </w:rPr>
        <w:t xml:space="preserve">spoblación, lo que también contribuye a una mayor cohesión </w:t>
      </w:r>
      <w:r>
        <w:rPr>
          <w:rFonts w:ascii="Times New Roman" w:eastAsia="Times New Roman" w:hAnsi="Times New Roman" w:cs="Times New Roman"/>
          <w:sz w:val="22"/>
          <w:szCs w:val="22"/>
        </w:rPr>
        <w:lastRenderedPageBreak/>
        <w:t>territorial. En conjunto, estas medidas posicionan a España como un país atractivo para la creación de startups, alineándose con los estándares europeos, y establecen un entorno favorable tanto par</w:t>
      </w:r>
      <w:r>
        <w:rPr>
          <w:rFonts w:ascii="Times New Roman" w:eastAsia="Times New Roman" w:hAnsi="Times New Roman" w:cs="Times New Roman"/>
          <w:sz w:val="22"/>
          <w:szCs w:val="22"/>
        </w:rPr>
        <w:t>a emprendedores como para inversores (BOE, 2022)</w:t>
      </w:r>
      <w:r>
        <w:rPr>
          <w:rFonts w:ascii="Times New Roman" w:eastAsia="Times New Roman" w:hAnsi="Times New Roman" w:cs="Times New Roman"/>
          <w:sz w:val="22"/>
          <w:szCs w:val="22"/>
          <w:vertAlign w:val="superscript"/>
        </w:rPr>
        <w:footnoteReference w:id="29"/>
      </w:r>
      <w:r>
        <w:rPr>
          <w:rFonts w:ascii="Times New Roman" w:eastAsia="Times New Roman" w:hAnsi="Times New Roman" w:cs="Times New Roman"/>
          <w:sz w:val="22"/>
          <w:szCs w:val="22"/>
        </w:rPr>
        <w:t>.</w:t>
      </w:r>
    </w:p>
    <w:p w14:paraId="1CE63822" w14:textId="77777777" w:rsidR="004D0443" w:rsidRDefault="00DA3067">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2.4. El papel de Colombia con las startups</w:t>
      </w:r>
    </w:p>
    <w:p w14:paraId="1CE63823" w14:textId="77777777" w:rsidR="004D0443" w:rsidRDefault="004D0443">
      <w:pPr>
        <w:spacing w:line="276" w:lineRule="auto"/>
        <w:jc w:val="both"/>
        <w:rPr>
          <w:rFonts w:ascii="Times New Roman" w:eastAsia="Times New Roman" w:hAnsi="Times New Roman" w:cs="Times New Roman"/>
          <w:sz w:val="22"/>
          <w:szCs w:val="22"/>
        </w:rPr>
      </w:pPr>
    </w:p>
    <w:p w14:paraId="1CE63824"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Colombia está atravesando una importante transformación económica impulsada por el crecimiento y la expansión de las startups, que han tejido una red de innovaci</w:t>
      </w:r>
      <w:r>
        <w:rPr>
          <w:rFonts w:ascii="Times New Roman" w:eastAsia="Times New Roman" w:hAnsi="Times New Roman" w:cs="Times New Roman"/>
          <w:sz w:val="22"/>
          <w:szCs w:val="22"/>
        </w:rPr>
        <w:t>ón que remodela el panorama empresarial del país. Estas empresas emergentes han desempeñado un papel clave en la generación de empleo formal, brindando oportunidades laborales en sectores innovadores, lo que a su vez ha contribuido a reducir la informalida</w:t>
      </w:r>
      <w:r>
        <w:rPr>
          <w:rFonts w:ascii="Times New Roman" w:eastAsia="Times New Roman" w:hAnsi="Times New Roman" w:cs="Times New Roman"/>
          <w:sz w:val="22"/>
          <w:szCs w:val="22"/>
        </w:rPr>
        <w:t>d laboral en el país. A medida que las startups crecen, contratan a jóvenes talentos y profesionales, lo que no solo mejora la empleabilidad, sino que también fortalece la calidad de la fuerza laboral (Altos Empresarios, 2024)</w:t>
      </w:r>
      <w:r>
        <w:rPr>
          <w:rFonts w:ascii="Times New Roman" w:eastAsia="Times New Roman" w:hAnsi="Times New Roman" w:cs="Times New Roman"/>
          <w:sz w:val="22"/>
          <w:szCs w:val="22"/>
          <w:vertAlign w:val="superscript"/>
        </w:rPr>
        <w:footnoteReference w:id="30"/>
      </w:r>
      <w:r>
        <w:rPr>
          <w:rFonts w:ascii="Times New Roman" w:eastAsia="Times New Roman" w:hAnsi="Times New Roman" w:cs="Times New Roman"/>
          <w:sz w:val="22"/>
          <w:szCs w:val="22"/>
        </w:rPr>
        <w:t xml:space="preserve">. Esta tendencia ha generado </w:t>
      </w:r>
      <w:r>
        <w:rPr>
          <w:rFonts w:ascii="Times New Roman" w:eastAsia="Times New Roman" w:hAnsi="Times New Roman" w:cs="Times New Roman"/>
          <w:sz w:val="22"/>
          <w:szCs w:val="22"/>
        </w:rPr>
        <w:t>un impacto positivo en el crecimiento económico, permitiendo a las startups expandir sus operaciones y aumentar su presencia tanto a nivel nacional como internacional. El auge de estas empresas ha estimulado la innovación en sectores clave como la tecnolog</w:t>
      </w:r>
      <w:r>
        <w:rPr>
          <w:rFonts w:ascii="Times New Roman" w:eastAsia="Times New Roman" w:hAnsi="Times New Roman" w:cs="Times New Roman"/>
          <w:sz w:val="22"/>
          <w:szCs w:val="22"/>
        </w:rPr>
        <w:t>ía, fintech, salud, educación y energías renovables, mejorando la competitividad del país en el escenario global.</w:t>
      </w:r>
    </w:p>
    <w:p w14:paraId="1CE63825" w14:textId="77777777" w:rsidR="004D0443" w:rsidRDefault="004D0443">
      <w:pPr>
        <w:spacing w:line="276" w:lineRule="auto"/>
        <w:jc w:val="both"/>
        <w:rPr>
          <w:rFonts w:ascii="Times New Roman" w:eastAsia="Times New Roman" w:hAnsi="Times New Roman" w:cs="Times New Roman"/>
          <w:sz w:val="22"/>
          <w:szCs w:val="22"/>
        </w:rPr>
      </w:pPr>
    </w:p>
    <w:p w14:paraId="1CE63826"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Otro aspecto importante es el desarrollo de habilidades y capacidades en la fuerza laboral, ya que muchas startups se centran en la formación</w:t>
      </w:r>
      <w:r>
        <w:rPr>
          <w:rFonts w:ascii="Times New Roman" w:eastAsia="Times New Roman" w:hAnsi="Times New Roman" w:cs="Times New Roman"/>
          <w:sz w:val="22"/>
          <w:szCs w:val="22"/>
        </w:rPr>
        <w:t xml:space="preserve"> y capacitación de sus empleados, incrementando así la calidad del capital humano disponible en el mercado. Esto ha permitido que las startups no solo mejoren su productividad interna, sino que también contribuyan al crecimiento general de la economía colo</w:t>
      </w:r>
      <w:r>
        <w:rPr>
          <w:rFonts w:ascii="Times New Roman" w:eastAsia="Times New Roman" w:hAnsi="Times New Roman" w:cs="Times New Roman"/>
          <w:sz w:val="22"/>
          <w:szCs w:val="22"/>
        </w:rPr>
        <w:t>mbiana. En sectores como fintech, las startups están revolucionando la industria financiera mediante soluciones innovadoras que democratizan el acceso a servicios financieros y mejoran la inclusión financiera del país (Altos Empresarios, 2024)</w:t>
      </w:r>
      <w:r>
        <w:rPr>
          <w:rFonts w:ascii="Times New Roman" w:eastAsia="Times New Roman" w:hAnsi="Times New Roman" w:cs="Times New Roman"/>
          <w:sz w:val="22"/>
          <w:szCs w:val="22"/>
          <w:vertAlign w:val="superscript"/>
        </w:rPr>
        <w:footnoteReference w:id="31"/>
      </w:r>
      <w:r>
        <w:rPr>
          <w:rFonts w:ascii="Times New Roman" w:eastAsia="Times New Roman" w:hAnsi="Times New Roman" w:cs="Times New Roman"/>
          <w:sz w:val="22"/>
          <w:szCs w:val="22"/>
        </w:rPr>
        <w:t>.</w:t>
      </w:r>
    </w:p>
    <w:p w14:paraId="1CE63827" w14:textId="77777777" w:rsidR="004D0443" w:rsidRDefault="004D0443">
      <w:pPr>
        <w:spacing w:line="276" w:lineRule="auto"/>
        <w:jc w:val="both"/>
        <w:rPr>
          <w:rFonts w:ascii="Times New Roman" w:eastAsia="Times New Roman" w:hAnsi="Times New Roman" w:cs="Times New Roman"/>
          <w:sz w:val="22"/>
          <w:szCs w:val="22"/>
        </w:rPr>
      </w:pPr>
    </w:p>
    <w:p w14:paraId="1CE63828"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Como una </w:t>
      </w:r>
      <w:r>
        <w:rPr>
          <w:rFonts w:ascii="Times New Roman" w:eastAsia="Times New Roman" w:hAnsi="Times New Roman" w:cs="Times New Roman"/>
          <w:sz w:val="22"/>
          <w:szCs w:val="22"/>
        </w:rPr>
        <w:t>oportunidad de mejora para el país se encuentra la falta de énfasis en políticas de emprendimiento, algo que contrasta con el gobierno anterior, que tenía una orientación más clara hacia la creación de startups tecnológicas. Sin embargo, durante el Gobiern</w:t>
      </w:r>
      <w:r>
        <w:rPr>
          <w:rFonts w:ascii="Times New Roman" w:eastAsia="Times New Roman" w:hAnsi="Times New Roman" w:cs="Times New Roman"/>
          <w:sz w:val="22"/>
          <w:szCs w:val="22"/>
        </w:rPr>
        <w:t xml:space="preserve">o del actual presidente Gustavo Petro se ha  ha planteado la necesidad de fortalecer una sociedad del conocimiento, lo que </w:t>
      </w:r>
      <w:r>
        <w:rPr>
          <w:rFonts w:ascii="Times New Roman" w:eastAsia="Times New Roman" w:hAnsi="Times New Roman" w:cs="Times New Roman"/>
          <w:sz w:val="22"/>
          <w:szCs w:val="22"/>
        </w:rPr>
        <w:lastRenderedPageBreak/>
        <w:t>incluye una mayor inversión en educación digital, matemáticas, inglés y alfabetización tecnológica, aspectos que, a largo plazo, podr</w:t>
      </w:r>
      <w:r>
        <w:rPr>
          <w:rFonts w:ascii="Times New Roman" w:eastAsia="Times New Roman" w:hAnsi="Times New Roman" w:cs="Times New Roman"/>
          <w:sz w:val="22"/>
          <w:szCs w:val="22"/>
        </w:rPr>
        <w:t>ían fortalecer la base sobre la cual las startups crecen en el país (Alfaro, 2022)</w:t>
      </w:r>
      <w:r>
        <w:rPr>
          <w:rFonts w:ascii="Times New Roman" w:eastAsia="Times New Roman" w:hAnsi="Times New Roman" w:cs="Times New Roman"/>
          <w:sz w:val="22"/>
          <w:szCs w:val="22"/>
          <w:vertAlign w:val="superscript"/>
        </w:rPr>
        <w:footnoteReference w:id="32"/>
      </w:r>
      <w:r>
        <w:rPr>
          <w:rFonts w:ascii="Times New Roman" w:eastAsia="Times New Roman" w:hAnsi="Times New Roman" w:cs="Times New Roman"/>
          <w:sz w:val="22"/>
          <w:szCs w:val="22"/>
        </w:rPr>
        <w:t>. A pesar de estos retos, el ecosistema de emprendimiento en Colombia sigue siendo robusto, con una creciente participación de actores locales e internacionales que impulsan</w:t>
      </w:r>
      <w:r>
        <w:rPr>
          <w:rFonts w:ascii="Times New Roman" w:eastAsia="Times New Roman" w:hAnsi="Times New Roman" w:cs="Times New Roman"/>
          <w:sz w:val="22"/>
          <w:szCs w:val="22"/>
        </w:rPr>
        <w:t xml:space="preserve"> el acceso al venture capital. Según cifras recientes, el país aumentó en un 63% el número de operaciones de capital de riesgo en el primer semestre de 2022, lo que demuestra que el entorno sigue siendo atractivo para los inversionistas.</w:t>
      </w:r>
    </w:p>
    <w:p w14:paraId="1CE63829" w14:textId="77777777" w:rsidR="004D0443" w:rsidRDefault="004D0443">
      <w:pPr>
        <w:spacing w:line="276" w:lineRule="auto"/>
        <w:jc w:val="both"/>
        <w:rPr>
          <w:rFonts w:ascii="Times New Roman" w:eastAsia="Times New Roman" w:hAnsi="Times New Roman" w:cs="Times New Roman"/>
          <w:sz w:val="22"/>
          <w:szCs w:val="22"/>
        </w:rPr>
      </w:pPr>
    </w:p>
    <w:p w14:paraId="1CE6382A"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Según El Colombia</w:t>
      </w:r>
      <w:r>
        <w:rPr>
          <w:rFonts w:ascii="Times New Roman" w:eastAsia="Times New Roman" w:hAnsi="Times New Roman" w:cs="Times New Roman"/>
          <w:sz w:val="22"/>
          <w:szCs w:val="22"/>
        </w:rPr>
        <w:t xml:space="preserve"> Tech Report 2023-2024</w:t>
      </w:r>
      <w:r>
        <w:rPr>
          <w:rFonts w:ascii="Times New Roman" w:eastAsia="Times New Roman" w:hAnsi="Times New Roman" w:cs="Times New Roman"/>
          <w:sz w:val="22"/>
          <w:szCs w:val="22"/>
          <w:vertAlign w:val="superscript"/>
        </w:rPr>
        <w:footnoteReference w:id="33"/>
      </w:r>
      <w:r>
        <w:rPr>
          <w:rFonts w:ascii="Times New Roman" w:eastAsia="Times New Roman" w:hAnsi="Times New Roman" w:cs="Times New Roman"/>
          <w:sz w:val="22"/>
          <w:szCs w:val="22"/>
        </w:rPr>
        <w:t xml:space="preserve"> El ecosistema de startups en el país ha crecido un 30% en comparación con el año anterior, registrando un total de 1,720 startups en todo el territorio nacional. Este aumento refleja el auge del emprendimiento en sectores clave como</w:t>
      </w:r>
      <w:r>
        <w:rPr>
          <w:rFonts w:ascii="Times New Roman" w:eastAsia="Times New Roman" w:hAnsi="Times New Roman" w:cs="Times New Roman"/>
          <w:sz w:val="22"/>
          <w:szCs w:val="22"/>
        </w:rPr>
        <w:t xml:space="preserve"> fintech, proptech y healthtech, concentrándose principalmente en Bogotá y Antioquia, que albergan el 80% de estas empresas. Sin embargo, otras regiones como el Valle del Cauca y Atlántico también han visto un aumento significativo en su participación, lo </w:t>
      </w:r>
      <w:r>
        <w:rPr>
          <w:rFonts w:ascii="Times New Roman" w:eastAsia="Times New Roman" w:hAnsi="Times New Roman" w:cs="Times New Roman"/>
          <w:sz w:val="22"/>
          <w:szCs w:val="22"/>
        </w:rPr>
        <w:t>que está diversificando el panorama de innovación en el país.</w:t>
      </w:r>
    </w:p>
    <w:p w14:paraId="1CE6382B" w14:textId="77777777" w:rsidR="004D0443" w:rsidRDefault="004D0443">
      <w:pPr>
        <w:spacing w:line="276" w:lineRule="auto"/>
        <w:jc w:val="both"/>
        <w:rPr>
          <w:rFonts w:ascii="Times New Roman" w:eastAsia="Times New Roman" w:hAnsi="Times New Roman" w:cs="Times New Roman"/>
          <w:sz w:val="22"/>
          <w:szCs w:val="22"/>
        </w:rPr>
      </w:pPr>
    </w:p>
    <w:p w14:paraId="1CE6382C" w14:textId="77777777" w:rsidR="004D0443" w:rsidRDefault="00DA3067">
      <w:pPr>
        <w:spacing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noProof/>
          <w:sz w:val="22"/>
          <w:szCs w:val="22"/>
          <w:lang w:val="es-CO"/>
        </w:rPr>
        <w:lastRenderedPageBreak/>
        <w:drawing>
          <wp:inline distT="114300" distB="114300" distL="114300" distR="114300" wp14:anchorId="1CE639FF" wp14:editId="1CE63A00">
            <wp:extent cx="4877888" cy="4828198"/>
            <wp:effectExtent l="0" t="0" r="0" b="0"/>
            <wp:docPr id="138"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1"/>
                    <a:srcRect/>
                    <a:stretch>
                      <a:fillRect/>
                    </a:stretch>
                  </pic:blipFill>
                  <pic:spPr>
                    <a:xfrm>
                      <a:off x="0" y="0"/>
                      <a:ext cx="4877888" cy="4828198"/>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Tabla 3: </w:t>
      </w:r>
      <w:r>
        <w:rPr>
          <w:rFonts w:ascii="Times New Roman" w:eastAsia="Times New Roman" w:hAnsi="Times New Roman" w:cs="Times New Roman"/>
          <w:sz w:val="20"/>
          <w:szCs w:val="20"/>
        </w:rPr>
        <w:t>Global Startup Ecosystem Index de 2023 - 2024</w:t>
      </w:r>
      <w:r>
        <w:rPr>
          <w:rFonts w:ascii="Times New Roman" w:eastAsia="Times New Roman" w:hAnsi="Times New Roman" w:cs="Times New Roman"/>
          <w:b/>
          <w:sz w:val="20"/>
          <w:szCs w:val="20"/>
        </w:rPr>
        <w:br/>
        <w:t xml:space="preserve">Fuente: </w:t>
      </w:r>
      <w:r>
        <w:rPr>
          <w:rFonts w:ascii="Times New Roman" w:eastAsia="Times New Roman" w:hAnsi="Times New Roman" w:cs="Times New Roman"/>
          <w:sz w:val="20"/>
          <w:szCs w:val="20"/>
        </w:rPr>
        <w:t>Cámara de Comercio de Bogotá, 2024</w:t>
      </w:r>
      <w:r>
        <w:rPr>
          <w:rFonts w:ascii="Times New Roman" w:eastAsia="Times New Roman" w:hAnsi="Times New Roman" w:cs="Times New Roman"/>
          <w:sz w:val="20"/>
          <w:szCs w:val="20"/>
          <w:vertAlign w:val="superscript"/>
        </w:rPr>
        <w:footnoteReference w:id="34"/>
      </w:r>
      <w:r>
        <w:rPr>
          <w:rFonts w:ascii="Times New Roman" w:eastAsia="Times New Roman" w:hAnsi="Times New Roman" w:cs="Times New Roman"/>
          <w:sz w:val="20"/>
          <w:szCs w:val="20"/>
        </w:rPr>
        <w:t>.</w:t>
      </w:r>
      <w:r>
        <w:rPr>
          <w:rFonts w:ascii="Times New Roman" w:eastAsia="Times New Roman" w:hAnsi="Times New Roman" w:cs="Times New Roman"/>
          <w:b/>
          <w:sz w:val="22"/>
          <w:szCs w:val="22"/>
        </w:rPr>
        <w:br/>
      </w:r>
    </w:p>
    <w:p w14:paraId="1CE6382D"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Por su parte, el Global Startup Ecosystem Index de 2023 ubica a Colombia en la posición 40, subiendo 4 lugares respecto a 2022. Este ranking global clasifica los ecosistemas de startups de 100 países, evaluando criterios como la cantidad de startups, calid</w:t>
      </w:r>
      <w:r>
        <w:rPr>
          <w:rFonts w:ascii="Times New Roman" w:eastAsia="Times New Roman" w:hAnsi="Times New Roman" w:cs="Times New Roman"/>
          <w:sz w:val="22"/>
          <w:szCs w:val="22"/>
        </w:rPr>
        <w:t xml:space="preserve">ad del financiamiento, y facilidad para hacer negocios. Colombia ha superado a países como México y Chile, gracias a un entorno de emprendimiento fortalecido por iniciativas de apoyo y alfabetización tecnológica. El crecimiento de </w:t>
      </w:r>
      <w:r>
        <w:rPr>
          <w:rFonts w:ascii="Times New Roman" w:eastAsia="Times New Roman" w:hAnsi="Times New Roman" w:cs="Times New Roman"/>
          <w:sz w:val="22"/>
          <w:szCs w:val="22"/>
        </w:rPr>
        <w:lastRenderedPageBreak/>
        <w:t>startups como Habi, Platz</w:t>
      </w:r>
      <w:r>
        <w:rPr>
          <w:rFonts w:ascii="Times New Roman" w:eastAsia="Times New Roman" w:hAnsi="Times New Roman" w:cs="Times New Roman"/>
          <w:sz w:val="22"/>
          <w:szCs w:val="22"/>
        </w:rPr>
        <w:t>i y Ontop, además del desarrollo del hub fintech, han sido claves para este avance.</w:t>
      </w:r>
    </w:p>
    <w:p w14:paraId="1CE6382E" w14:textId="77777777" w:rsidR="004D0443" w:rsidRDefault="004D0443">
      <w:pPr>
        <w:spacing w:line="276" w:lineRule="auto"/>
        <w:jc w:val="both"/>
        <w:rPr>
          <w:rFonts w:ascii="Times New Roman" w:eastAsia="Times New Roman" w:hAnsi="Times New Roman" w:cs="Times New Roman"/>
          <w:sz w:val="22"/>
          <w:szCs w:val="22"/>
        </w:rPr>
      </w:pPr>
    </w:p>
    <w:p w14:paraId="1CE6382F" w14:textId="77777777" w:rsidR="004D0443" w:rsidRDefault="00DA3067">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2"/>
          <w:szCs w:val="22"/>
          <w:lang w:val="es-CO"/>
        </w:rPr>
        <w:drawing>
          <wp:inline distT="114300" distB="114300" distL="114300" distR="114300" wp14:anchorId="1CE63A01" wp14:editId="1CE63A02">
            <wp:extent cx="5586103" cy="4674971"/>
            <wp:effectExtent l="0" t="0" r="0" b="0"/>
            <wp:docPr id="13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5586103" cy="4674971"/>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Imagen 3 </w:t>
      </w:r>
      <w:r>
        <w:rPr>
          <w:rFonts w:ascii="Times New Roman" w:eastAsia="Times New Roman" w:hAnsi="Times New Roman" w:cs="Times New Roman"/>
          <w:sz w:val="20"/>
          <w:szCs w:val="20"/>
        </w:rPr>
        <w:t>Los 20 acuerdos más significativos del 2023 en Colombia</w:t>
      </w:r>
      <w:r>
        <w:rPr>
          <w:rFonts w:ascii="Times New Roman" w:eastAsia="Times New Roman" w:hAnsi="Times New Roman" w:cs="Times New Roman"/>
          <w:b/>
          <w:sz w:val="20"/>
          <w:szCs w:val="20"/>
        </w:rPr>
        <w:br/>
        <w:t xml:space="preserve">Fuente: </w:t>
      </w:r>
      <w:r>
        <w:rPr>
          <w:rFonts w:ascii="Times New Roman" w:eastAsia="Times New Roman" w:hAnsi="Times New Roman" w:cs="Times New Roman"/>
          <w:sz w:val="20"/>
          <w:szCs w:val="20"/>
        </w:rPr>
        <w:t>Cámara de Comercio de Bogotá, 2024</w:t>
      </w:r>
      <w:r>
        <w:rPr>
          <w:rFonts w:ascii="Times New Roman" w:eastAsia="Times New Roman" w:hAnsi="Times New Roman" w:cs="Times New Roman"/>
          <w:sz w:val="20"/>
          <w:szCs w:val="20"/>
          <w:vertAlign w:val="superscript"/>
        </w:rPr>
        <w:footnoteReference w:id="35"/>
      </w:r>
      <w:r>
        <w:rPr>
          <w:rFonts w:ascii="Times New Roman" w:eastAsia="Times New Roman" w:hAnsi="Times New Roman" w:cs="Times New Roman"/>
          <w:sz w:val="20"/>
          <w:szCs w:val="20"/>
        </w:rPr>
        <w:t>.</w:t>
      </w:r>
    </w:p>
    <w:p w14:paraId="1CE63830" w14:textId="77777777" w:rsidR="004D0443" w:rsidRDefault="004D0443">
      <w:pPr>
        <w:spacing w:line="276" w:lineRule="auto"/>
        <w:jc w:val="both"/>
        <w:rPr>
          <w:rFonts w:ascii="Times New Roman" w:eastAsia="Times New Roman" w:hAnsi="Times New Roman" w:cs="Times New Roman"/>
          <w:sz w:val="22"/>
          <w:szCs w:val="22"/>
        </w:rPr>
      </w:pPr>
    </w:p>
    <w:p w14:paraId="1CE63831"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2023, los 20 acuerdos más grandes del ecosistema colombiano de startups abarcaron desde 4.6 millones hasta 62 millones de dólares. Bogotá lideró con 13 de estos acuerdos, representando el 65% del total. A destacar, dos de los acuerdos más significativos</w:t>
      </w:r>
      <w:r>
        <w:rPr>
          <w:rFonts w:ascii="Times New Roman" w:eastAsia="Times New Roman" w:hAnsi="Times New Roman" w:cs="Times New Roman"/>
          <w:sz w:val="22"/>
          <w:szCs w:val="22"/>
        </w:rPr>
        <w:t xml:space="preserve"> en volumen provinieron de La Haus </w:t>
      </w:r>
      <w:r>
        <w:rPr>
          <w:rFonts w:ascii="Times New Roman" w:eastAsia="Times New Roman" w:hAnsi="Times New Roman" w:cs="Times New Roman"/>
          <w:sz w:val="22"/>
          <w:szCs w:val="22"/>
        </w:rPr>
        <w:lastRenderedPageBreak/>
        <w:t xml:space="preserve">(PropTech) y Erco Energy (EnergyTech), ambas con sede en Medellín. También se registraron levantamientos de capital en Cali y Barranquilla, lo que refleja un panorama diversificado y dinámico en todo el país. </w:t>
      </w:r>
    </w:p>
    <w:p w14:paraId="1CE63832" w14:textId="77777777" w:rsidR="004D0443" w:rsidRDefault="004D0443">
      <w:pPr>
        <w:spacing w:line="276" w:lineRule="auto"/>
        <w:jc w:val="both"/>
        <w:rPr>
          <w:rFonts w:ascii="Times New Roman" w:eastAsia="Times New Roman" w:hAnsi="Times New Roman" w:cs="Times New Roman"/>
          <w:sz w:val="22"/>
          <w:szCs w:val="22"/>
        </w:rPr>
      </w:pPr>
    </w:p>
    <w:p w14:paraId="1CE63833"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Hoy el sec</w:t>
      </w:r>
      <w:r>
        <w:rPr>
          <w:rFonts w:ascii="Times New Roman" w:eastAsia="Times New Roman" w:hAnsi="Times New Roman" w:cs="Times New Roman"/>
          <w:sz w:val="22"/>
          <w:szCs w:val="22"/>
        </w:rPr>
        <w:t>tor Fintech, como lo demuestra el informe lidera las inversiones en Colombia, eso lo explica la siguiente figura:</w:t>
      </w:r>
    </w:p>
    <w:p w14:paraId="1CE63834" w14:textId="77777777" w:rsidR="004D0443" w:rsidRDefault="004D0443">
      <w:pPr>
        <w:spacing w:line="276" w:lineRule="auto"/>
        <w:jc w:val="both"/>
        <w:rPr>
          <w:rFonts w:ascii="Times New Roman" w:eastAsia="Times New Roman" w:hAnsi="Times New Roman" w:cs="Times New Roman"/>
          <w:sz w:val="22"/>
          <w:szCs w:val="22"/>
        </w:rPr>
      </w:pPr>
    </w:p>
    <w:p w14:paraId="1CE63835" w14:textId="77777777" w:rsidR="004D0443" w:rsidRDefault="00DA3067">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noProof/>
          <w:sz w:val="22"/>
          <w:szCs w:val="22"/>
          <w:lang w:val="es-CO"/>
        </w:rPr>
        <w:drawing>
          <wp:inline distT="114300" distB="114300" distL="114300" distR="114300" wp14:anchorId="1CE63A03" wp14:editId="1CE63A04">
            <wp:extent cx="5612400" cy="3327400"/>
            <wp:effectExtent l="0" t="0" r="0" b="0"/>
            <wp:docPr id="140"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3"/>
                    <a:srcRect/>
                    <a:stretch>
                      <a:fillRect/>
                    </a:stretch>
                  </pic:blipFill>
                  <pic:spPr>
                    <a:xfrm>
                      <a:off x="0" y="0"/>
                      <a:ext cx="5612400" cy="3327400"/>
                    </a:xfrm>
                    <a:prstGeom prst="rect">
                      <a:avLst/>
                    </a:prstGeom>
                    <a:ln/>
                  </pic:spPr>
                </pic:pic>
              </a:graphicData>
            </a:graphic>
          </wp:inline>
        </w:drawing>
      </w:r>
    </w:p>
    <w:p w14:paraId="1CE63836" w14:textId="77777777" w:rsidR="004D0443" w:rsidRDefault="00DA3067">
      <w:pPr>
        <w:spacing w:line="276" w:lineRule="auto"/>
        <w:jc w:val="center"/>
        <w:rPr>
          <w:rFonts w:ascii="Times New Roman" w:eastAsia="Times New Roman" w:hAnsi="Times New Roman" w:cs="Times New Roman"/>
          <w:sz w:val="22"/>
          <w:szCs w:val="22"/>
        </w:rPr>
      </w:pPr>
      <w:r>
        <w:rPr>
          <w:rFonts w:ascii="Times New Roman" w:eastAsia="Times New Roman" w:hAnsi="Times New Roman" w:cs="Times New Roman"/>
          <w:b/>
          <w:sz w:val="20"/>
          <w:szCs w:val="20"/>
        </w:rPr>
        <w:t xml:space="preserve">Imagen 4: </w:t>
      </w:r>
      <w:r>
        <w:rPr>
          <w:rFonts w:ascii="Times New Roman" w:eastAsia="Times New Roman" w:hAnsi="Times New Roman" w:cs="Times New Roman"/>
          <w:sz w:val="20"/>
          <w:szCs w:val="20"/>
        </w:rPr>
        <w:t>Comportamiento de las inversiones en startups en Colombia del 2019 a 2023</w:t>
      </w:r>
      <w:r>
        <w:rPr>
          <w:rFonts w:ascii="Times New Roman" w:eastAsia="Times New Roman" w:hAnsi="Times New Roman" w:cs="Times New Roman"/>
          <w:b/>
          <w:sz w:val="20"/>
          <w:szCs w:val="20"/>
        </w:rPr>
        <w:br/>
        <w:t xml:space="preserve">Fuente: </w:t>
      </w:r>
      <w:r>
        <w:rPr>
          <w:rFonts w:ascii="Times New Roman" w:eastAsia="Times New Roman" w:hAnsi="Times New Roman" w:cs="Times New Roman"/>
          <w:sz w:val="20"/>
          <w:szCs w:val="20"/>
        </w:rPr>
        <w:t>Cámara de Comercio de Bogotá, 2024</w:t>
      </w:r>
      <w:r>
        <w:rPr>
          <w:rFonts w:ascii="Times New Roman" w:eastAsia="Times New Roman" w:hAnsi="Times New Roman" w:cs="Times New Roman"/>
          <w:sz w:val="20"/>
          <w:szCs w:val="20"/>
          <w:vertAlign w:val="superscript"/>
        </w:rPr>
        <w:footnoteReference w:id="36"/>
      </w:r>
      <w:r>
        <w:rPr>
          <w:rFonts w:ascii="Times New Roman" w:eastAsia="Times New Roman" w:hAnsi="Times New Roman" w:cs="Times New Roman"/>
          <w:sz w:val="20"/>
          <w:szCs w:val="20"/>
        </w:rPr>
        <w:t>.</w:t>
      </w:r>
      <w:r>
        <w:rPr>
          <w:rFonts w:ascii="Times New Roman" w:eastAsia="Times New Roman" w:hAnsi="Times New Roman" w:cs="Times New Roman"/>
          <w:sz w:val="22"/>
          <w:szCs w:val="22"/>
        </w:rPr>
        <w:br/>
      </w:r>
    </w:p>
    <w:p w14:paraId="1CE63837"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Como lo d</w:t>
      </w:r>
      <w:r>
        <w:rPr>
          <w:rFonts w:ascii="Times New Roman" w:eastAsia="Times New Roman" w:hAnsi="Times New Roman" w:cs="Times New Roman"/>
          <w:sz w:val="22"/>
          <w:szCs w:val="22"/>
        </w:rPr>
        <w:t>emuestra el informe en 2023, Colombia vio a las fintech liderar la captación de inversiones, representando el 39% del total, seguidas por las startups de proptech con un 29% y las de energytech con un 8%, este último sector aumentando en 6 posiciones con r</w:t>
      </w:r>
      <w:r>
        <w:rPr>
          <w:rFonts w:ascii="Times New Roman" w:eastAsia="Times New Roman" w:hAnsi="Times New Roman" w:cs="Times New Roman"/>
          <w:sz w:val="22"/>
          <w:szCs w:val="22"/>
        </w:rPr>
        <w:t xml:space="preserve">especto al año anterior. Este crecimiento en energytech refleja el creciente interés en tecnologías vinculadas a energías renovables </w:t>
      </w:r>
      <w:r>
        <w:rPr>
          <w:rFonts w:ascii="Times New Roman" w:eastAsia="Times New Roman" w:hAnsi="Times New Roman" w:cs="Times New Roman"/>
          <w:sz w:val="22"/>
          <w:szCs w:val="22"/>
        </w:rPr>
        <w:lastRenderedPageBreak/>
        <w:t>y eficiencia energética, especialmente en el sector cleantech. Un informe de MIT Technology Review señala que el 30% de los</w:t>
      </w:r>
      <w:r>
        <w:rPr>
          <w:rFonts w:ascii="Times New Roman" w:eastAsia="Times New Roman" w:hAnsi="Times New Roman" w:cs="Times New Roman"/>
          <w:sz w:val="22"/>
          <w:szCs w:val="22"/>
        </w:rPr>
        <w:t xml:space="preserve"> corporativos está interesado en tecnologías emergentes de sostenibilidad</w:t>
      </w:r>
      <w:r>
        <w:rPr>
          <w:rFonts w:ascii="Times New Roman" w:eastAsia="Times New Roman" w:hAnsi="Times New Roman" w:cs="Times New Roman"/>
          <w:sz w:val="22"/>
          <w:szCs w:val="22"/>
          <w:vertAlign w:val="superscript"/>
        </w:rPr>
        <w:footnoteReference w:id="37"/>
      </w:r>
      <w:r>
        <w:rPr>
          <w:rFonts w:ascii="Times New Roman" w:eastAsia="Times New Roman" w:hAnsi="Times New Roman" w:cs="Times New Roman"/>
          <w:sz w:val="22"/>
          <w:szCs w:val="22"/>
        </w:rPr>
        <w:t>.</w:t>
      </w:r>
    </w:p>
    <w:p w14:paraId="1CE63838"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cuanto a retailtech y logtech, Colombia se mantiene en el top 10 de inversiones, con el 5% y 2% del total, respectivamente. Además, el 15% de las corporaciones busca mejorar su servicio utilizando herramientas avanzadas como monitoreo de productos y tec</w:t>
      </w:r>
      <w:r>
        <w:rPr>
          <w:rFonts w:ascii="Times New Roman" w:eastAsia="Times New Roman" w:hAnsi="Times New Roman" w:cs="Times New Roman"/>
          <w:sz w:val="22"/>
          <w:szCs w:val="22"/>
        </w:rPr>
        <w:t>nologías de última milla. Esto según la información recopilada en el informe de Colombia Tech Report 2023-2024</w:t>
      </w:r>
      <w:r>
        <w:rPr>
          <w:rFonts w:ascii="Times New Roman" w:eastAsia="Times New Roman" w:hAnsi="Times New Roman" w:cs="Times New Roman"/>
          <w:sz w:val="22"/>
          <w:szCs w:val="22"/>
          <w:vertAlign w:val="superscript"/>
        </w:rPr>
        <w:footnoteReference w:id="38"/>
      </w:r>
      <w:r>
        <w:rPr>
          <w:rFonts w:ascii="Times New Roman" w:eastAsia="Times New Roman" w:hAnsi="Times New Roman" w:cs="Times New Roman"/>
          <w:sz w:val="22"/>
          <w:szCs w:val="22"/>
        </w:rPr>
        <w:t>.</w:t>
      </w:r>
    </w:p>
    <w:p w14:paraId="1CE63839" w14:textId="77777777" w:rsidR="004D0443" w:rsidRDefault="004D0443">
      <w:pPr>
        <w:spacing w:line="276" w:lineRule="auto"/>
        <w:jc w:val="both"/>
        <w:rPr>
          <w:rFonts w:ascii="Times New Roman" w:eastAsia="Times New Roman" w:hAnsi="Times New Roman" w:cs="Times New Roman"/>
          <w:sz w:val="22"/>
          <w:szCs w:val="22"/>
        </w:rPr>
      </w:pPr>
    </w:p>
    <w:p w14:paraId="1CE6383A" w14:textId="77777777" w:rsidR="004D0443" w:rsidRDefault="00DA3067">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2.5. El papel de las startups en Bogotá</w:t>
      </w:r>
    </w:p>
    <w:p w14:paraId="1CE6383B" w14:textId="77777777" w:rsidR="004D0443" w:rsidRDefault="004D0443">
      <w:pPr>
        <w:spacing w:line="276" w:lineRule="auto"/>
        <w:jc w:val="both"/>
        <w:rPr>
          <w:rFonts w:ascii="Times New Roman" w:eastAsia="Times New Roman" w:hAnsi="Times New Roman" w:cs="Times New Roman"/>
          <w:b/>
          <w:sz w:val="22"/>
          <w:szCs w:val="22"/>
        </w:rPr>
      </w:pPr>
    </w:p>
    <w:p w14:paraId="1CE6383C"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Bogotá ha jugado un papel clave en la transformación digital de las empresas emergentes. Según el Pro</w:t>
      </w:r>
      <w:r>
        <w:rPr>
          <w:rFonts w:ascii="Times New Roman" w:eastAsia="Times New Roman" w:hAnsi="Times New Roman" w:cs="Times New Roman"/>
          <w:sz w:val="22"/>
          <w:szCs w:val="22"/>
        </w:rPr>
        <w:t>grama Entorno, implementado en la capital, se ha logrado apoyar a 592 mipymes en su proceso de innovación y adaptación al mercado digital. Este programa ha proporcionado acompañamiento en áreas como la industria 4.0 y la economía circular, permitiendo a la</w:t>
      </w:r>
      <w:r>
        <w:rPr>
          <w:rFonts w:ascii="Times New Roman" w:eastAsia="Times New Roman" w:hAnsi="Times New Roman" w:cs="Times New Roman"/>
          <w:sz w:val="22"/>
          <w:szCs w:val="22"/>
        </w:rPr>
        <w:t>s empresas mejorar su eficiencia y acceder a nuevas oportunidades de negocio (Secretaría Distrital de Desarrollo Económico, 2023)</w:t>
      </w:r>
      <w:r>
        <w:rPr>
          <w:rFonts w:ascii="Times New Roman" w:eastAsia="Times New Roman" w:hAnsi="Times New Roman" w:cs="Times New Roman"/>
          <w:sz w:val="22"/>
          <w:szCs w:val="22"/>
          <w:vertAlign w:val="superscript"/>
        </w:rPr>
        <w:footnoteReference w:id="39"/>
      </w:r>
      <w:r>
        <w:rPr>
          <w:rFonts w:ascii="Times New Roman" w:eastAsia="Times New Roman" w:hAnsi="Times New Roman" w:cs="Times New Roman"/>
          <w:sz w:val="22"/>
          <w:szCs w:val="22"/>
        </w:rPr>
        <w:t>.</w:t>
      </w:r>
    </w:p>
    <w:p w14:paraId="1CE6383D" w14:textId="77777777" w:rsidR="004D0443" w:rsidRDefault="004D0443">
      <w:pPr>
        <w:spacing w:line="276" w:lineRule="auto"/>
        <w:jc w:val="both"/>
        <w:rPr>
          <w:rFonts w:ascii="Times New Roman" w:eastAsia="Times New Roman" w:hAnsi="Times New Roman" w:cs="Times New Roman"/>
          <w:sz w:val="22"/>
          <w:szCs w:val="22"/>
        </w:rPr>
      </w:pPr>
    </w:p>
    <w:p w14:paraId="1CE6383E"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Iniciativas como estas han contribuido para que en este 2024 Bogotá haya sido reconocida como una de las tres mejores ciuda</w:t>
      </w:r>
      <w:r>
        <w:rPr>
          <w:rFonts w:ascii="Times New Roman" w:eastAsia="Times New Roman" w:hAnsi="Times New Roman" w:cs="Times New Roman"/>
          <w:sz w:val="22"/>
          <w:szCs w:val="22"/>
        </w:rPr>
        <w:t>des para el desarrollo de startups en América Latina, superada solo por São Paulo y Ciudad de México. Según el informe de StartupBlink, Bogotá alberga el 59% de las startups de Colombia, consolidándose como el epicentro de innovación en el país. Esta posic</w:t>
      </w:r>
      <w:r>
        <w:rPr>
          <w:rFonts w:ascii="Times New Roman" w:eastAsia="Times New Roman" w:hAnsi="Times New Roman" w:cs="Times New Roman"/>
          <w:sz w:val="22"/>
          <w:szCs w:val="22"/>
        </w:rPr>
        <w:t xml:space="preserve">ión se ha logrado gracias a la sólida reserva de talento y el desarrollo de una infraestructura tecnológica que ha permitido la expansión de startups en sectores como PropTech, FinTech y EnergyTech. </w:t>
      </w:r>
    </w:p>
    <w:p w14:paraId="1CE6383F" w14:textId="77777777" w:rsidR="004D0443" w:rsidRDefault="004D0443">
      <w:pPr>
        <w:spacing w:line="276" w:lineRule="auto"/>
        <w:jc w:val="both"/>
        <w:rPr>
          <w:rFonts w:ascii="Times New Roman" w:eastAsia="Times New Roman" w:hAnsi="Times New Roman" w:cs="Times New Roman"/>
          <w:sz w:val="22"/>
          <w:szCs w:val="22"/>
        </w:rPr>
      </w:pPr>
    </w:p>
    <w:p w14:paraId="1CE63840"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Con base en la información que se ha expuesto anteriorm</w:t>
      </w:r>
      <w:r>
        <w:rPr>
          <w:rFonts w:ascii="Times New Roman" w:eastAsia="Times New Roman" w:hAnsi="Times New Roman" w:cs="Times New Roman"/>
          <w:sz w:val="22"/>
          <w:szCs w:val="22"/>
        </w:rPr>
        <w:t>ente en 2024, Bogotá fue reconocida como una de las tres mejores ciudades para el desarrollo de startups en América Latina, después de São Paulo y Ciudad de México. Este éxito ha sido respaldado por la solidez de su infraestructura tecnológica y su reserva</w:t>
      </w:r>
      <w:r>
        <w:rPr>
          <w:rFonts w:ascii="Times New Roman" w:eastAsia="Times New Roman" w:hAnsi="Times New Roman" w:cs="Times New Roman"/>
          <w:sz w:val="22"/>
          <w:szCs w:val="22"/>
        </w:rPr>
        <w:t xml:space="preserve"> de talento, lo que ha permitido a startups expandirse en sectores como </w:t>
      </w:r>
      <w:r>
        <w:rPr>
          <w:rFonts w:ascii="Times New Roman" w:eastAsia="Times New Roman" w:hAnsi="Times New Roman" w:cs="Times New Roman"/>
          <w:sz w:val="22"/>
          <w:szCs w:val="22"/>
        </w:rPr>
        <w:lastRenderedPageBreak/>
        <w:t>FinTech, PropTech y EnergyTech. Además, Bogotá alberga el 59% de las startups colombianas, consolidándose como un epicentro de innovación​</w:t>
      </w:r>
      <w:r>
        <w:rPr>
          <w:rFonts w:ascii="Times New Roman" w:eastAsia="Times New Roman" w:hAnsi="Times New Roman" w:cs="Times New Roman"/>
          <w:sz w:val="22"/>
          <w:szCs w:val="22"/>
          <w:vertAlign w:val="superscript"/>
        </w:rPr>
        <w:footnoteReference w:id="40"/>
      </w:r>
      <w:r>
        <w:rPr>
          <w:rFonts w:ascii="Times New Roman" w:eastAsia="Times New Roman" w:hAnsi="Times New Roman" w:cs="Times New Roman"/>
          <w:sz w:val="22"/>
          <w:szCs w:val="22"/>
        </w:rPr>
        <w:t>.</w:t>
      </w:r>
    </w:p>
    <w:p w14:paraId="1CE63841" w14:textId="77777777" w:rsidR="004D0443" w:rsidRDefault="004D0443">
      <w:pPr>
        <w:spacing w:line="276" w:lineRule="auto"/>
        <w:jc w:val="both"/>
        <w:rPr>
          <w:rFonts w:ascii="Times New Roman" w:eastAsia="Times New Roman" w:hAnsi="Times New Roman" w:cs="Times New Roman"/>
          <w:sz w:val="22"/>
          <w:szCs w:val="22"/>
        </w:rPr>
      </w:pPr>
    </w:p>
    <w:p w14:paraId="1CE63842"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 nivel de inversión, las startups en Bogo</w:t>
      </w:r>
      <w:r>
        <w:rPr>
          <w:rFonts w:ascii="Times New Roman" w:eastAsia="Times New Roman" w:hAnsi="Times New Roman" w:cs="Times New Roman"/>
          <w:sz w:val="22"/>
          <w:szCs w:val="22"/>
        </w:rPr>
        <w:t>tá han sido clave para captar capital significativo, con 13 de los 20 acuerdos más importantes en Colombia en 2023 concentrados en la ciudad, especialmente en áreas como PropTech y EnergyTech . Esta dinámica refleja la capacidad de Bogotá para atraer capit</w:t>
      </w:r>
      <w:r>
        <w:rPr>
          <w:rFonts w:ascii="Times New Roman" w:eastAsia="Times New Roman" w:hAnsi="Times New Roman" w:cs="Times New Roman"/>
          <w:sz w:val="22"/>
          <w:szCs w:val="22"/>
        </w:rPr>
        <w:t>al extranjero y fortalecer su ecosistema empresarial.</w:t>
      </w:r>
    </w:p>
    <w:p w14:paraId="1CE63843" w14:textId="77777777" w:rsidR="004D0443" w:rsidRDefault="004D0443">
      <w:pPr>
        <w:spacing w:line="276" w:lineRule="auto"/>
        <w:jc w:val="both"/>
        <w:rPr>
          <w:rFonts w:ascii="Times New Roman" w:eastAsia="Times New Roman" w:hAnsi="Times New Roman" w:cs="Times New Roman"/>
          <w:sz w:val="22"/>
          <w:szCs w:val="22"/>
        </w:rPr>
      </w:pPr>
    </w:p>
    <w:p w14:paraId="1CE63844"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el congreso ANDICOM 2024, celebrado en Cartagena, Bogotá recibió el premio Smart City Innovator Awards en la categoría “Ciudad Pionera”. Este reconocimiento destaca la capacidad de la ciudad para im</w:t>
      </w:r>
      <w:r>
        <w:rPr>
          <w:rFonts w:ascii="Times New Roman" w:eastAsia="Times New Roman" w:hAnsi="Times New Roman" w:cs="Times New Roman"/>
          <w:sz w:val="22"/>
          <w:szCs w:val="22"/>
        </w:rPr>
        <w:t>plementar soluciones tecnológicas avanzadas en beneficio de los ciudadanos. Un ejemplo clave fue la implementación del chatbot Chaqitco, que facilitó la interacción ciudadana con la administración y permitió mejorar la gestión pública y el acceso a informa</w:t>
      </w:r>
      <w:r>
        <w:rPr>
          <w:rFonts w:ascii="Times New Roman" w:eastAsia="Times New Roman" w:hAnsi="Times New Roman" w:cs="Times New Roman"/>
          <w:sz w:val="22"/>
          <w:szCs w:val="22"/>
        </w:rPr>
        <w:t>ción clave sobre servicios urbanos (Semana, 2024)​</w:t>
      </w:r>
      <w:r>
        <w:rPr>
          <w:rFonts w:ascii="Times New Roman" w:eastAsia="Times New Roman" w:hAnsi="Times New Roman" w:cs="Times New Roman"/>
          <w:sz w:val="22"/>
          <w:szCs w:val="22"/>
          <w:vertAlign w:val="superscript"/>
        </w:rPr>
        <w:footnoteReference w:id="41"/>
      </w:r>
      <w:r>
        <w:rPr>
          <w:rFonts w:ascii="Times New Roman" w:eastAsia="Times New Roman" w:hAnsi="Times New Roman" w:cs="Times New Roman"/>
          <w:sz w:val="22"/>
          <w:szCs w:val="22"/>
        </w:rPr>
        <w:t>. Estas iniciativas no solo posicionan a Bogotá como una ciudad líder en transformación digital, sino que también refuerzan su capacidad para innovar en favor del crecimiento económico y la inclusión socia</w:t>
      </w:r>
      <w:r>
        <w:rPr>
          <w:rFonts w:ascii="Times New Roman" w:eastAsia="Times New Roman" w:hAnsi="Times New Roman" w:cs="Times New Roman"/>
          <w:sz w:val="22"/>
          <w:szCs w:val="22"/>
        </w:rPr>
        <w:t>l.</w:t>
      </w:r>
    </w:p>
    <w:p w14:paraId="1CE63845"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Hoy Bogotá tiene una gran oportunidad, pues según el Ranking 100 Open Startups en Colombia</w:t>
      </w:r>
      <w:r>
        <w:rPr>
          <w:rFonts w:ascii="Times New Roman" w:eastAsia="Times New Roman" w:hAnsi="Times New Roman" w:cs="Times New Roman"/>
          <w:sz w:val="22"/>
          <w:szCs w:val="22"/>
          <w:vertAlign w:val="superscript"/>
        </w:rPr>
        <w:footnoteReference w:id="42"/>
      </w:r>
      <w:r>
        <w:rPr>
          <w:rFonts w:ascii="Times New Roman" w:eastAsia="Times New Roman" w:hAnsi="Times New Roman" w:cs="Times New Roman"/>
          <w:sz w:val="22"/>
          <w:szCs w:val="22"/>
        </w:rPr>
        <w:t xml:space="preserve"> el cual reconoce a las startups más atractivas para el mercado corporativo, así como a los corporativos (medianas y grandes empresas) que más colaboran con start</w:t>
      </w:r>
      <w:r>
        <w:rPr>
          <w:rFonts w:ascii="Times New Roman" w:eastAsia="Times New Roman" w:hAnsi="Times New Roman" w:cs="Times New Roman"/>
          <w:sz w:val="22"/>
          <w:szCs w:val="22"/>
        </w:rPr>
        <w:t>ups e impulsan la innovación abierta en el país. Hoy Bogotá es la zona de Colombia con mayor representación de Open Startups con 56.6%, Este ranking mide la evolución de estas interacciones o relaciones con el propósito de contar con un instrumento de anál</w:t>
      </w:r>
      <w:r>
        <w:rPr>
          <w:rFonts w:ascii="Times New Roman" w:eastAsia="Times New Roman" w:hAnsi="Times New Roman" w:cs="Times New Roman"/>
          <w:sz w:val="22"/>
          <w:szCs w:val="22"/>
        </w:rPr>
        <w:t xml:space="preserve">isis objetivo que permita evidenciar el desarrollo y la contribución de esta práctica en la economía nacional. </w:t>
      </w:r>
    </w:p>
    <w:p w14:paraId="1CE63846" w14:textId="77777777" w:rsidR="004D0443" w:rsidRDefault="00DA3067">
      <w:pPr>
        <w:spacing w:before="240" w:after="24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2"/>
          <w:szCs w:val="22"/>
          <w:lang w:val="es-CO"/>
        </w:rPr>
        <w:lastRenderedPageBreak/>
        <w:drawing>
          <wp:inline distT="114300" distB="114300" distL="114300" distR="114300" wp14:anchorId="1CE63A05" wp14:editId="1CE63A06">
            <wp:extent cx="5562600" cy="3067772"/>
            <wp:effectExtent l="0" t="0" r="0" b="0"/>
            <wp:docPr id="139"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4"/>
                    <a:srcRect l="782" b="1505"/>
                    <a:stretch>
                      <a:fillRect/>
                    </a:stretch>
                  </pic:blipFill>
                  <pic:spPr>
                    <a:xfrm>
                      <a:off x="0" y="0"/>
                      <a:ext cx="5562600" cy="3067772"/>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Imagen 5 </w:t>
      </w:r>
      <w:r>
        <w:rPr>
          <w:rFonts w:ascii="Times New Roman" w:eastAsia="Times New Roman" w:hAnsi="Times New Roman" w:cs="Times New Roman"/>
          <w:sz w:val="20"/>
          <w:szCs w:val="20"/>
        </w:rPr>
        <w:t>Distribución Geográfica de las Open Startups Colombianas.</w:t>
      </w:r>
      <w:r>
        <w:rPr>
          <w:rFonts w:ascii="Times New Roman" w:eastAsia="Times New Roman" w:hAnsi="Times New Roman" w:cs="Times New Roman"/>
          <w:sz w:val="20"/>
          <w:szCs w:val="20"/>
        </w:rPr>
        <w:br/>
      </w:r>
      <w:r>
        <w:rPr>
          <w:rFonts w:ascii="Times New Roman" w:eastAsia="Times New Roman" w:hAnsi="Times New Roman" w:cs="Times New Roman"/>
          <w:b/>
          <w:sz w:val="20"/>
          <w:szCs w:val="20"/>
        </w:rPr>
        <w:t xml:space="preserve">Fuente: </w:t>
      </w:r>
      <w:r>
        <w:rPr>
          <w:rFonts w:ascii="Times New Roman" w:eastAsia="Times New Roman" w:hAnsi="Times New Roman" w:cs="Times New Roman"/>
          <w:sz w:val="20"/>
          <w:szCs w:val="20"/>
        </w:rPr>
        <w:t>Top Open Startups, 2024</w:t>
      </w:r>
      <w:r>
        <w:rPr>
          <w:rFonts w:ascii="Times New Roman" w:eastAsia="Times New Roman" w:hAnsi="Times New Roman" w:cs="Times New Roman"/>
          <w:sz w:val="20"/>
          <w:szCs w:val="20"/>
          <w:vertAlign w:val="superscript"/>
        </w:rPr>
        <w:footnoteReference w:id="43"/>
      </w:r>
      <w:r>
        <w:rPr>
          <w:rFonts w:ascii="Times New Roman" w:eastAsia="Times New Roman" w:hAnsi="Times New Roman" w:cs="Times New Roman"/>
          <w:sz w:val="20"/>
          <w:szCs w:val="20"/>
        </w:rPr>
        <w:t>.</w:t>
      </w:r>
    </w:p>
    <w:p w14:paraId="1CE63847"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De las startups participantes, el 77% son colombianas, con una fuerte representación en Bogotá D.C., que concentra el 56.6% del total,le siguen Antioquia con el 23.1%, Valle del Cauca con el 5%, Cundinamarca con el 4.5% y Santander con el 3.6%. Además, el </w:t>
      </w:r>
      <w:r>
        <w:rPr>
          <w:rFonts w:ascii="Times New Roman" w:eastAsia="Times New Roman" w:hAnsi="Times New Roman" w:cs="Times New Roman"/>
          <w:sz w:val="22"/>
          <w:szCs w:val="22"/>
        </w:rPr>
        <w:t>23% de las startups participantes son internacionales, principalmente de México, Brasil y Estados Unidos. Hoy Bogotá tiene una oportunidad para liderar una transformación y un impulso a las Open Startups no solo en el Distrito sino también en todo el país</w:t>
      </w:r>
      <w:r>
        <w:rPr>
          <w:rFonts w:ascii="Times New Roman" w:eastAsia="Times New Roman" w:hAnsi="Times New Roman" w:cs="Times New Roman"/>
          <w:sz w:val="22"/>
          <w:szCs w:val="22"/>
          <w:vertAlign w:val="superscript"/>
        </w:rPr>
        <w:footnoteReference w:id="44"/>
      </w:r>
      <w:r>
        <w:rPr>
          <w:rFonts w:ascii="Times New Roman" w:eastAsia="Times New Roman" w:hAnsi="Times New Roman" w:cs="Times New Roman"/>
          <w:sz w:val="22"/>
          <w:szCs w:val="22"/>
        </w:rPr>
        <w:t xml:space="preserve">. </w:t>
      </w:r>
    </w:p>
    <w:p w14:paraId="1CE63848" w14:textId="77777777" w:rsidR="004D0443" w:rsidRDefault="00DA3067">
      <w:pPr>
        <w:spacing w:before="240" w:after="240"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2.6. Diagnóstico del ecosistema emprendedor en Bogotá.</w:t>
      </w:r>
    </w:p>
    <w:p w14:paraId="1CE63849" w14:textId="77777777" w:rsidR="004D0443" w:rsidRDefault="00DA3067">
      <w:pPr>
        <w:spacing w:before="240" w:after="24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b/>
          <w:noProof/>
          <w:sz w:val="22"/>
          <w:szCs w:val="22"/>
          <w:lang w:val="es-CO"/>
        </w:rPr>
        <w:lastRenderedPageBreak/>
        <w:drawing>
          <wp:inline distT="114300" distB="114300" distL="114300" distR="114300" wp14:anchorId="1CE63A07" wp14:editId="1CE63A08">
            <wp:extent cx="4675688" cy="2635532"/>
            <wp:effectExtent l="0" t="0" r="0" b="0"/>
            <wp:docPr id="142"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5"/>
                    <a:srcRect/>
                    <a:stretch>
                      <a:fillRect/>
                    </a:stretch>
                  </pic:blipFill>
                  <pic:spPr>
                    <a:xfrm>
                      <a:off x="0" y="0"/>
                      <a:ext cx="4675688" cy="2635532"/>
                    </a:xfrm>
                    <a:prstGeom prst="rect">
                      <a:avLst/>
                    </a:prstGeom>
                    <a:ln/>
                  </pic:spPr>
                </pic:pic>
              </a:graphicData>
            </a:graphic>
          </wp:inline>
        </w:drawing>
      </w:r>
      <w:r>
        <w:rPr>
          <w:rFonts w:ascii="Times New Roman" w:eastAsia="Times New Roman" w:hAnsi="Times New Roman" w:cs="Times New Roman"/>
          <w:b/>
          <w:sz w:val="22"/>
          <w:szCs w:val="22"/>
        </w:rPr>
        <w:br/>
      </w:r>
      <w:r>
        <w:rPr>
          <w:rFonts w:ascii="Times New Roman" w:eastAsia="Times New Roman" w:hAnsi="Times New Roman" w:cs="Times New Roman"/>
          <w:b/>
          <w:sz w:val="20"/>
          <w:szCs w:val="20"/>
        </w:rPr>
        <w:t xml:space="preserve">Imagen 6: </w:t>
      </w:r>
      <w:r>
        <w:rPr>
          <w:rFonts w:ascii="Times New Roman" w:eastAsia="Times New Roman" w:hAnsi="Times New Roman" w:cs="Times New Roman"/>
          <w:sz w:val="20"/>
          <w:szCs w:val="20"/>
        </w:rPr>
        <w:t>Lanzamiento SacaleUpBog.</w:t>
      </w:r>
      <w:r>
        <w:rPr>
          <w:rFonts w:ascii="Times New Roman" w:eastAsia="Times New Roman" w:hAnsi="Times New Roman" w:cs="Times New Roman"/>
          <w:b/>
          <w:sz w:val="22"/>
          <w:szCs w:val="22"/>
        </w:rPr>
        <w:br/>
      </w:r>
      <w:r>
        <w:rPr>
          <w:rFonts w:ascii="Times New Roman" w:eastAsia="Times New Roman" w:hAnsi="Times New Roman" w:cs="Times New Roman"/>
          <w:b/>
          <w:sz w:val="20"/>
          <w:szCs w:val="20"/>
        </w:rPr>
        <w:t xml:space="preserve">Fuente: </w:t>
      </w:r>
      <w:r>
        <w:rPr>
          <w:rFonts w:ascii="Times New Roman" w:eastAsia="Times New Roman" w:hAnsi="Times New Roman" w:cs="Times New Roman"/>
          <w:sz w:val="20"/>
          <w:szCs w:val="20"/>
        </w:rPr>
        <w:t>Invest in Bogotá, 2024</w:t>
      </w:r>
      <w:r>
        <w:rPr>
          <w:rFonts w:ascii="Times New Roman" w:eastAsia="Times New Roman" w:hAnsi="Times New Roman" w:cs="Times New Roman"/>
          <w:sz w:val="20"/>
          <w:szCs w:val="20"/>
          <w:vertAlign w:val="superscript"/>
        </w:rPr>
        <w:footnoteReference w:id="45"/>
      </w:r>
    </w:p>
    <w:p w14:paraId="1CE6384A"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ecosistema emprendedor en Bogotá ha experimentado un crecimiento significativo en los últimos años, consolidándose como uno de los principales hubs de innovación y emprendimiento en América Latina. Un factor clave en este desarrollo ha sido la plataform</w:t>
      </w:r>
      <w:r>
        <w:rPr>
          <w:rFonts w:ascii="Times New Roman" w:eastAsia="Times New Roman" w:hAnsi="Times New Roman" w:cs="Times New Roman"/>
          <w:sz w:val="22"/>
          <w:szCs w:val="22"/>
        </w:rPr>
        <w:t>a ScaleupBog, relanzada en 2024 durante el Gofest, uno de los festivales de emprendimiento más importantes de la región. ScaleupBog ha sido diseñada para conectar a startups locales con inversionistas, facilitando el acceso a recursos, mentorías, y program</w:t>
      </w:r>
      <w:r>
        <w:rPr>
          <w:rFonts w:ascii="Times New Roman" w:eastAsia="Times New Roman" w:hAnsi="Times New Roman" w:cs="Times New Roman"/>
          <w:sz w:val="22"/>
          <w:szCs w:val="22"/>
        </w:rPr>
        <w:t>as especializados que les permiten escalar y expandirse hacia mercados internacionales (Invest in Bogotá, 2024)​</w:t>
      </w:r>
      <w:r>
        <w:rPr>
          <w:rFonts w:ascii="Times New Roman" w:eastAsia="Times New Roman" w:hAnsi="Times New Roman" w:cs="Times New Roman"/>
          <w:sz w:val="22"/>
          <w:szCs w:val="22"/>
          <w:vertAlign w:val="superscript"/>
        </w:rPr>
        <w:footnoteReference w:id="46"/>
      </w:r>
      <w:r>
        <w:rPr>
          <w:rFonts w:ascii="Times New Roman" w:eastAsia="Times New Roman" w:hAnsi="Times New Roman" w:cs="Times New Roman"/>
          <w:sz w:val="22"/>
          <w:szCs w:val="22"/>
        </w:rPr>
        <w:t>.</w:t>
      </w:r>
    </w:p>
    <w:p w14:paraId="1CE6384B"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plataforma, que ha tenido un crecimiento del 250% en conexiones y acuerdos valorados en 300 millones de euros, ofrece herramientas como el</w:t>
      </w:r>
      <w:r>
        <w:rPr>
          <w:rFonts w:ascii="Times New Roman" w:eastAsia="Times New Roman" w:hAnsi="Times New Roman" w:cs="Times New Roman"/>
          <w:sz w:val="22"/>
          <w:szCs w:val="22"/>
        </w:rPr>
        <w:t xml:space="preserve"> acceso gratuito a Finnovating, una red global basada en inteligencia artificial que conecta a emprendedores, corporaciones e inversionistas. Esta red facilita acuerdos estratégicos y ayuda a las startups de base tecnológica y rápido crecimiento a consolid</w:t>
      </w:r>
      <w:r>
        <w:rPr>
          <w:rFonts w:ascii="Times New Roman" w:eastAsia="Times New Roman" w:hAnsi="Times New Roman" w:cs="Times New Roman"/>
          <w:sz w:val="22"/>
          <w:szCs w:val="22"/>
        </w:rPr>
        <w:t xml:space="preserve">ar su posición en el mercado. Esto ha permitido a Bogotá no solo atraer capital de riesgo, sino también </w:t>
      </w:r>
      <w:r>
        <w:rPr>
          <w:rFonts w:ascii="Times New Roman" w:eastAsia="Times New Roman" w:hAnsi="Times New Roman" w:cs="Times New Roman"/>
          <w:sz w:val="22"/>
          <w:szCs w:val="22"/>
        </w:rPr>
        <w:lastRenderedPageBreak/>
        <w:t>fortalecer su papel como epicentro para startups de sectores clave como fintech, proptech, y healthtech (Invest in Bogotá, 2024)</w:t>
      </w:r>
      <w:r>
        <w:rPr>
          <w:rFonts w:ascii="Times New Roman" w:eastAsia="Times New Roman" w:hAnsi="Times New Roman" w:cs="Times New Roman"/>
          <w:sz w:val="22"/>
          <w:szCs w:val="22"/>
          <w:vertAlign w:val="superscript"/>
        </w:rPr>
        <w:footnoteReference w:id="47"/>
      </w:r>
      <w:r>
        <w:rPr>
          <w:rFonts w:ascii="Times New Roman" w:eastAsia="Times New Roman" w:hAnsi="Times New Roman" w:cs="Times New Roman"/>
          <w:sz w:val="22"/>
          <w:szCs w:val="22"/>
        </w:rPr>
        <w:t>​.</w:t>
      </w:r>
    </w:p>
    <w:p w14:paraId="1CE6384C" w14:textId="77777777" w:rsidR="004D0443" w:rsidRDefault="00DA3067">
      <w:pPr>
        <w:spacing w:before="240" w:after="24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2"/>
          <w:szCs w:val="22"/>
          <w:lang w:val="es-CO"/>
        </w:rPr>
        <w:drawing>
          <wp:inline distT="114300" distB="114300" distL="114300" distR="114300" wp14:anchorId="1CE63A09" wp14:editId="1CE63A0A">
            <wp:extent cx="5612400" cy="3378200"/>
            <wp:effectExtent l="0" t="0" r="0" b="0"/>
            <wp:docPr id="14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6"/>
                    <a:srcRect/>
                    <a:stretch>
                      <a:fillRect/>
                    </a:stretch>
                  </pic:blipFill>
                  <pic:spPr>
                    <a:xfrm>
                      <a:off x="0" y="0"/>
                      <a:ext cx="5612400" cy="3378200"/>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Imagen 7: </w:t>
      </w:r>
      <w:r>
        <w:rPr>
          <w:rFonts w:ascii="Times New Roman" w:eastAsia="Times New Roman" w:hAnsi="Times New Roman" w:cs="Times New Roman"/>
          <w:sz w:val="20"/>
          <w:szCs w:val="20"/>
        </w:rPr>
        <w:t>Contexto de Startups en Bogotá.</w:t>
      </w:r>
      <w:r>
        <w:rPr>
          <w:rFonts w:ascii="Times New Roman" w:eastAsia="Times New Roman" w:hAnsi="Times New Roman" w:cs="Times New Roman"/>
          <w:sz w:val="20"/>
          <w:szCs w:val="20"/>
        </w:rPr>
        <w:br/>
      </w:r>
      <w:r>
        <w:rPr>
          <w:rFonts w:ascii="Times New Roman" w:eastAsia="Times New Roman" w:hAnsi="Times New Roman" w:cs="Times New Roman"/>
          <w:b/>
          <w:sz w:val="20"/>
          <w:szCs w:val="20"/>
        </w:rPr>
        <w:t xml:space="preserve">Fuente: </w:t>
      </w:r>
      <w:r>
        <w:rPr>
          <w:rFonts w:ascii="Times New Roman" w:eastAsia="Times New Roman" w:hAnsi="Times New Roman" w:cs="Times New Roman"/>
          <w:sz w:val="20"/>
          <w:szCs w:val="20"/>
        </w:rPr>
        <w:t>ScaleUpBog, 2024</w:t>
      </w:r>
      <w:r>
        <w:rPr>
          <w:rFonts w:ascii="Times New Roman" w:eastAsia="Times New Roman" w:hAnsi="Times New Roman" w:cs="Times New Roman"/>
          <w:sz w:val="20"/>
          <w:szCs w:val="20"/>
          <w:vertAlign w:val="superscript"/>
        </w:rPr>
        <w:footnoteReference w:id="48"/>
      </w:r>
      <w:r>
        <w:rPr>
          <w:rFonts w:ascii="Times New Roman" w:eastAsia="Times New Roman" w:hAnsi="Times New Roman" w:cs="Times New Roman"/>
          <w:sz w:val="20"/>
          <w:szCs w:val="20"/>
        </w:rPr>
        <w:t>.</w:t>
      </w:r>
    </w:p>
    <w:p w14:paraId="1CE6384D"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Con base en esa información sobre el ecosistema de startups en Colombia, se destaca que en Bogotá hay 949 startups, las cualesconstituyen el 50% del total de empresas emergentes. Esto señala la con</w:t>
      </w:r>
      <w:r>
        <w:rPr>
          <w:rFonts w:ascii="Times New Roman" w:eastAsia="Times New Roman" w:hAnsi="Times New Roman" w:cs="Times New Roman"/>
          <w:sz w:val="22"/>
          <w:szCs w:val="22"/>
        </w:rPr>
        <w:t>centración significativa de actividad emprendedora en Colombia y la importancia de Bogotá, que es conocida como un hub importante para este tipo de empresas.</w:t>
      </w:r>
    </w:p>
    <w:p w14:paraId="1CE6384E"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Se destaca que el subsector de fintech fue el más fuerte, al recaudar USD 236 millones a través de</w:t>
      </w:r>
      <w:r>
        <w:rPr>
          <w:rFonts w:ascii="Times New Roman" w:eastAsia="Times New Roman" w:hAnsi="Times New Roman" w:cs="Times New Roman"/>
          <w:sz w:val="22"/>
          <w:szCs w:val="22"/>
        </w:rPr>
        <w:t xml:space="preserve"> más de 39 rondas de financiamiento. Esto refleja una alta actividad e interés en tecnologías financieras en Colombia. </w:t>
      </w:r>
    </w:p>
    <w:p w14:paraId="1CE6384F"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En lo que respecta a proptech, sector relacionado con la propiedad y la tecnología, se resalta que ha recaudado USD 160 millones en más </w:t>
      </w:r>
      <w:r>
        <w:rPr>
          <w:rFonts w:ascii="Times New Roman" w:eastAsia="Times New Roman" w:hAnsi="Times New Roman" w:cs="Times New Roman"/>
          <w:sz w:val="22"/>
          <w:szCs w:val="22"/>
        </w:rPr>
        <w:t xml:space="preserve">de 7 rondas, lo que indica un creciente interés y desarrollo en soluciones tecnológicas para el mercado inmobiliario. </w:t>
      </w:r>
    </w:p>
    <w:p w14:paraId="1CE63850"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Por su parte, foodtech,aunque más pequeño en comparación, ha recaudado USD 23 millones en más de 4 rondas, mostrando la innovación en la </w:t>
      </w:r>
      <w:r>
        <w:rPr>
          <w:rFonts w:ascii="Times New Roman" w:eastAsia="Times New Roman" w:hAnsi="Times New Roman" w:cs="Times New Roman"/>
          <w:sz w:val="22"/>
          <w:szCs w:val="22"/>
        </w:rPr>
        <w:t xml:space="preserve">industria alimentaria mediante el uso de tecnología. </w:t>
      </w:r>
    </w:p>
    <w:p w14:paraId="1CE63851"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Además, se resalta que Bogotá es el hogar de dos unicornios reconocidos a nivel mundial: Rappi y Habi. Rappi es ampliamente conocido por su plataforma de entrega que ha expandido servicios a varias vert</w:t>
      </w:r>
      <w:r>
        <w:rPr>
          <w:rFonts w:ascii="Times New Roman" w:eastAsia="Times New Roman" w:hAnsi="Times New Roman" w:cs="Times New Roman"/>
          <w:sz w:val="22"/>
          <w:szCs w:val="22"/>
        </w:rPr>
        <w:t>ientes, mientras que Habi se ha destacado en el sector inmobiliario, facilitando procesos de compra, venta y valoración de propiedades mediante tecnología.</w:t>
      </w:r>
    </w:p>
    <w:p w14:paraId="1CE63852" w14:textId="77777777" w:rsidR="004D0443" w:rsidRDefault="00DA3067">
      <w:pPr>
        <w:spacing w:before="240" w:after="24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noProof/>
          <w:sz w:val="22"/>
          <w:szCs w:val="22"/>
          <w:lang w:val="es-CO"/>
        </w:rPr>
        <w:lastRenderedPageBreak/>
        <w:drawing>
          <wp:inline distT="114300" distB="114300" distL="114300" distR="114300" wp14:anchorId="1CE63A0B" wp14:editId="1CE63A0C">
            <wp:extent cx="4306388" cy="4130915"/>
            <wp:effectExtent l="0" t="0" r="0" b="0"/>
            <wp:docPr id="145"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7"/>
                    <a:srcRect/>
                    <a:stretch>
                      <a:fillRect/>
                    </a:stretch>
                  </pic:blipFill>
                  <pic:spPr>
                    <a:xfrm>
                      <a:off x="0" y="0"/>
                      <a:ext cx="4306388" cy="4130915"/>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Imagen 8: </w:t>
      </w:r>
      <w:r>
        <w:rPr>
          <w:rFonts w:ascii="Times New Roman" w:eastAsia="Times New Roman" w:hAnsi="Times New Roman" w:cs="Times New Roman"/>
          <w:sz w:val="20"/>
          <w:szCs w:val="20"/>
        </w:rPr>
        <w:t>Contexto sobre el ecosistema de emprendimiento en Bogotá.</w:t>
      </w:r>
      <w:r>
        <w:rPr>
          <w:rFonts w:ascii="Times New Roman" w:eastAsia="Times New Roman" w:hAnsi="Times New Roman" w:cs="Times New Roman"/>
          <w:sz w:val="20"/>
          <w:szCs w:val="20"/>
        </w:rPr>
        <w:br/>
      </w:r>
      <w:r>
        <w:rPr>
          <w:rFonts w:ascii="Times New Roman" w:eastAsia="Times New Roman" w:hAnsi="Times New Roman" w:cs="Times New Roman"/>
          <w:b/>
          <w:sz w:val="20"/>
          <w:szCs w:val="20"/>
        </w:rPr>
        <w:t xml:space="preserve">Fuente: </w:t>
      </w:r>
      <w:r>
        <w:rPr>
          <w:rFonts w:ascii="Times New Roman" w:eastAsia="Times New Roman" w:hAnsi="Times New Roman" w:cs="Times New Roman"/>
          <w:sz w:val="20"/>
          <w:szCs w:val="20"/>
        </w:rPr>
        <w:t>ScaleUpBog, 2024</w:t>
      </w:r>
      <w:r>
        <w:rPr>
          <w:rFonts w:ascii="Times New Roman" w:eastAsia="Times New Roman" w:hAnsi="Times New Roman" w:cs="Times New Roman"/>
          <w:sz w:val="20"/>
          <w:szCs w:val="20"/>
          <w:vertAlign w:val="superscript"/>
        </w:rPr>
        <w:footnoteReference w:id="49"/>
      </w:r>
      <w:r>
        <w:rPr>
          <w:rFonts w:ascii="Times New Roman" w:eastAsia="Times New Roman" w:hAnsi="Times New Roman" w:cs="Times New Roman"/>
          <w:sz w:val="20"/>
          <w:szCs w:val="20"/>
        </w:rPr>
        <w:t>.</w:t>
      </w:r>
    </w:p>
    <w:p w14:paraId="1CE63853"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El </w:t>
      </w:r>
      <w:r>
        <w:rPr>
          <w:rFonts w:ascii="Times New Roman" w:eastAsia="Times New Roman" w:hAnsi="Times New Roman" w:cs="Times New Roman"/>
          <w:sz w:val="22"/>
          <w:szCs w:val="22"/>
        </w:rPr>
        <w:t>ecosistema emprendedor de Bogotá se clasifica como el número uno en Colombia, el segundo en América del Sur, y el tercero en toda Latinoamérica, según StartupBlink, evidenciando su importancia como centro de innovación y emprendimiento. La imagen 4 subraya</w:t>
      </w:r>
      <w:r>
        <w:rPr>
          <w:rFonts w:ascii="Times New Roman" w:eastAsia="Times New Roman" w:hAnsi="Times New Roman" w:cs="Times New Roman"/>
          <w:sz w:val="22"/>
          <w:szCs w:val="22"/>
        </w:rPr>
        <w:t xml:space="preserve"> la infraestructura de soporte con numerosas aceleradoras, incubadoras, gremios y asociaciones, junto con entidades de gobierno y centros de emprendimiento que colaboran para fortalecer este ecosistema. Además, resalta la existencia de varios vehículos de </w:t>
      </w:r>
      <w:r>
        <w:rPr>
          <w:rFonts w:ascii="Times New Roman" w:eastAsia="Times New Roman" w:hAnsi="Times New Roman" w:cs="Times New Roman"/>
          <w:sz w:val="22"/>
          <w:szCs w:val="22"/>
        </w:rPr>
        <w:t xml:space="preserve">inversión que se enfocan en startups locales, impulsando así el crecimiento y desarrollo de las 949 startups bogotanas. . Esto demuestra el papel vital de Bogotá en </w:t>
      </w:r>
      <w:r>
        <w:rPr>
          <w:rFonts w:ascii="Times New Roman" w:eastAsia="Times New Roman" w:hAnsi="Times New Roman" w:cs="Times New Roman"/>
          <w:sz w:val="22"/>
          <w:szCs w:val="22"/>
        </w:rPr>
        <w:lastRenderedPageBreak/>
        <w:t>fomentar un ambiente propicio para la creación y escalabilidad de startups innovadoras dent</w:t>
      </w:r>
      <w:r>
        <w:rPr>
          <w:rFonts w:ascii="Times New Roman" w:eastAsia="Times New Roman" w:hAnsi="Times New Roman" w:cs="Times New Roman"/>
          <w:sz w:val="22"/>
          <w:szCs w:val="22"/>
        </w:rPr>
        <w:t>ro del país y en el contexto latinoamericano.</w:t>
      </w:r>
    </w:p>
    <w:p w14:paraId="1CE63854" w14:textId="77777777" w:rsidR="004D0443" w:rsidRDefault="00DA3067">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2.7. Crecimiento y relevancia de las startups juveniles.</w:t>
      </w:r>
    </w:p>
    <w:p w14:paraId="1CE63855" w14:textId="77777777" w:rsidR="004D0443" w:rsidRDefault="004D0443">
      <w:pPr>
        <w:spacing w:line="276" w:lineRule="auto"/>
        <w:jc w:val="both"/>
        <w:rPr>
          <w:rFonts w:ascii="Times New Roman" w:eastAsia="Times New Roman" w:hAnsi="Times New Roman" w:cs="Times New Roman"/>
          <w:b/>
          <w:sz w:val="22"/>
          <w:szCs w:val="22"/>
        </w:rPr>
      </w:pPr>
    </w:p>
    <w:p w14:paraId="1CE63856"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crecimiento de las startups juveniles ha sido un fenómeno relevante en los últimos años, impulsado por la creciente accesibilidad a la tecnología, el</w:t>
      </w:r>
      <w:r>
        <w:rPr>
          <w:rFonts w:ascii="Times New Roman" w:eastAsia="Times New Roman" w:hAnsi="Times New Roman" w:cs="Times New Roman"/>
          <w:sz w:val="22"/>
          <w:szCs w:val="22"/>
        </w:rPr>
        <w:t xml:space="preserve"> espíritu emprendedor de los jóvenes y el análisis de datos. Según el análisis de la Universidad de los Andes, el uso adecuado de datos se ha convertido en un factor clave para el desarrollo exitoso de estas empresas emergentes, permitiéndoles tomar decisi</w:t>
      </w:r>
      <w:r>
        <w:rPr>
          <w:rFonts w:ascii="Times New Roman" w:eastAsia="Times New Roman" w:hAnsi="Times New Roman" w:cs="Times New Roman"/>
          <w:sz w:val="22"/>
          <w:szCs w:val="22"/>
        </w:rPr>
        <w:t>ones informadas, mejorar la eficiencia operativa y anticipar tendencias del mercado. Las startups juveniles, aquellas fundadas y dirigidas por jóvenes emprendedores, se caracterizan por su capacidad para innovar y adaptarse rápidamente a un entorno cambian</w:t>
      </w:r>
      <w:r>
        <w:rPr>
          <w:rFonts w:ascii="Times New Roman" w:eastAsia="Times New Roman" w:hAnsi="Times New Roman" w:cs="Times New Roman"/>
          <w:sz w:val="22"/>
          <w:szCs w:val="22"/>
        </w:rPr>
        <w:t>te. Estas empresas suelen operar en sectores emergentes como la tecnología financiera, el comercio electrónico, la inteligencia artificial y las energías renovables, que demandan soluciones ágiles y disruptivas. El acceso a herramientas avanzadas de anális</w:t>
      </w:r>
      <w:r>
        <w:rPr>
          <w:rFonts w:ascii="Times New Roman" w:eastAsia="Times New Roman" w:hAnsi="Times New Roman" w:cs="Times New Roman"/>
          <w:sz w:val="22"/>
          <w:szCs w:val="22"/>
        </w:rPr>
        <w:t xml:space="preserve">is de datos ha permitido a estas startups identificar nichos de mercado, optimizar sus operaciones y ajustar sus modelos de negocio de manera efectiva, lo que les brinda una ventaja competitiva en sus primeros años de desarrollo (Universidad de los Andes, </w:t>
      </w:r>
      <w:r>
        <w:rPr>
          <w:rFonts w:ascii="Times New Roman" w:eastAsia="Times New Roman" w:hAnsi="Times New Roman" w:cs="Times New Roman"/>
          <w:sz w:val="22"/>
          <w:szCs w:val="22"/>
        </w:rPr>
        <w:t>2023)</w:t>
      </w:r>
      <w:r>
        <w:rPr>
          <w:rFonts w:ascii="Times New Roman" w:eastAsia="Times New Roman" w:hAnsi="Times New Roman" w:cs="Times New Roman"/>
          <w:sz w:val="22"/>
          <w:szCs w:val="22"/>
          <w:vertAlign w:val="superscript"/>
        </w:rPr>
        <w:footnoteReference w:id="50"/>
      </w:r>
      <w:r>
        <w:rPr>
          <w:rFonts w:ascii="Times New Roman" w:eastAsia="Times New Roman" w:hAnsi="Times New Roman" w:cs="Times New Roman"/>
          <w:sz w:val="22"/>
          <w:szCs w:val="22"/>
        </w:rPr>
        <w:t>.</w:t>
      </w:r>
    </w:p>
    <w:p w14:paraId="1CE63857" w14:textId="77777777" w:rsidR="004D0443" w:rsidRDefault="004D0443">
      <w:pPr>
        <w:spacing w:line="276" w:lineRule="auto"/>
        <w:jc w:val="both"/>
        <w:rPr>
          <w:rFonts w:ascii="Times New Roman" w:eastAsia="Times New Roman" w:hAnsi="Times New Roman" w:cs="Times New Roman"/>
          <w:sz w:val="22"/>
          <w:szCs w:val="22"/>
        </w:rPr>
      </w:pPr>
    </w:p>
    <w:p w14:paraId="1CE63858"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Cabe destacar que, la Universidad de los Andes se ha destacado por su contribución al ecosistema de startups en la región. Egresados de la Facultad de Ingeniería, en particular, del Departamento de Ingeniería Industrial se han convertido en líderes innovad</w:t>
      </w:r>
      <w:r>
        <w:rPr>
          <w:rFonts w:ascii="Times New Roman" w:eastAsia="Times New Roman" w:hAnsi="Times New Roman" w:cs="Times New Roman"/>
          <w:sz w:val="22"/>
          <w:szCs w:val="22"/>
        </w:rPr>
        <w:t xml:space="preserve">ores y fundadores de algunas de las startups más exitosas en América Latina. Sus historias de éxito son inspiradoras y ejemplifican cómo la educación y la formación de calidad pueden impulsar la creación de empresas exitosas. </w:t>
      </w:r>
    </w:p>
    <w:p w14:paraId="1CE63859" w14:textId="77777777" w:rsidR="004D0443" w:rsidRDefault="004D0443">
      <w:pPr>
        <w:spacing w:line="276" w:lineRule="auto"/>
        <w:jc w:val="both"/>
        <w:rPr>
          <w:rFonts w:ascii="Times New Roman" w:eastAsia="Times New Roman" w:hAnsi="Times New Roman" w:cs="Times New Roman"/>
          <w:sz w:val="22"/>
          <w:szCs w:val="22"/>
        </w:rPr>
      </w:pPr>
    </w:p>
    <w:p w14:paraId="1CE6385A"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Entre empresas fundadas por </w:t>
      </w:r>
      <w:r>
        <w:rPr>
          <w:rFonts w:ascii="Times New Roman" w:eastAsia="Times New Roman" w:hAnsi="Times New Roman" w:cs="Times New Roman"/>
          <w:sz w:val="22"/>
          <w:szCs w:val="22"/>
        </w:rPr>
        <w:t>egresados de Ingeniería Industrial de esta universidad se encuentran: Rappi, Habi, PuntoRed, Ubits, Merqueo, Castia, Kravata, SEOS, Golazzos, y muchas otras que han atraído capital de inversión y resuelto  necesidades de los latinoamericanos en múltiples s</w:t>
      </w:r>
      <w:r>
        <w:rPr>
          <w:rFonts w:ascii="Times New Roman" w:eastAsia="Times New Roman" w:hAnsi="Times New Roman" w:cs="Times New Roman"/>
          <w:sz w:val="22"/>
          <w:szCs w:val="22"/>
        </w:rPr>
        <w:t xml:space="preserve">ectores. Y son estas empresas que comienzan como startups las que demuestran un efecto positivo en su formación las cuales se expondrán a continuación: </w:t>
      </w:r>
    </w:p>
    <w:p w14:paraId="1CE6385B" w14:textId="77777777" w:rsidR="004D0443" w:rsidRDefault="004D0443">
      <w:pPr>
        <w:spacing w:line="276" w:lineRule="auto"/>
        <w:jc w:val="both"/>
        <w:rPr>
          <w:rFonts w:ascii="Times New Roman" w:eastAsia="Times New Roman" w:hAnsi="Times New Roman" w:cs="Times New Roman"/>
          <w:sz w:val="22"/>
          <w:szCs w:val="22"/>
        </w:rPr>
      </w:pPr>
    </w:p>
    <w:p w14:paraId="1CE6385C" w14:textId="77777777" w:rsidR="004D0443" w:rsidRDefault="00DA3067">
      <w:pPr>
        <w:numPr>
          <w:ilvl w:val="0"/>
          <w:numId w:val="3"/>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Rappi: </w:t>
      </w:r>
      <w:r>
        <w:rPr>
          <w:rFonts w:ascii="Times New Roman" w:eastAsia="Times New Roman" w:hAnsi="Times New Roman" w:cs="Times New Roman"/>
          <w:sz w:val="22"/>
          <w:szCs w:val="22"/>
        </w:rPr>
        <w:t>Es, sin duda, el mayor éxito en el ecosistema de startups colombiano y un referente para la reg</w:t>
      </w:r>
      <w:r>
        <w:rPr>
          <w:rFonts w:ascii="Times New Roman" w:eastAsia="Times New Roman" w:hAnsi="Times New Roman" w:cs="Times New Roman"/>
          <w:sz w:val="22"/>
          <w:szCs w:val="22"/>
        </w:rPr>
        <w:t xml:space="preserve">ión. Desde su fundación en 2015 por Simón Borrero, ha crecido exponencialmente, </w:t>
      </w:r>
      <w:r>
        <w:rPr>
          <w:rFonts w:ascii="Times New Roman" w:eastAsia="Times New Roman" w:hAnsi="Times New Roman" w:cs="Times New Roman"/>
          <w:sz w:val="22"/>
          <w:szCs w:val="22"/>
        </w:rPr>
        <w:lastRenderedPageBreak/>
        <w:t>convirtiéndose en el primer unicornio colombiano en 2018. Actualmente, su valoración supera los 5.2 mil millones de dólares, lo que refleja la magnitud de su impacto. No solo e</w:t>
      </w:r>
      <w:r>
        <w:rPr>
          <w:rFonts w:ascii="Times New Roman" w:eastAsia="Times New Roman" w:hAnsi="Times New Roman" w:cs="Times New Roman"/>
          <w:sz w:val="22"/>
          <w:szCs w:val="22"/>
        </w:rPr>
        <w:t>stá presente en más de 250 ciudades de América Latina, sino que también ha diversificado sus operaciones más allá del delivery, adentrándose en el mundo de los servicios financieros con RappiBank y RappiPay, ofreciendo productos como la RappiCard en colabo</w:t>
      </w:r>
      <w:r>
        <w:rPr>
          <w:rFonts w:ascii="Times New Roman" w:eastAsia="Times New Roman" w:hAnsi="Times New Roman" w:cs="Times New Roman"/>
          <w:sz w:val="22"/>
          <w:szCs w:val="22"/>
        </w:rPr>
        <w:t>ración con Visa, que ya cuenta con más de 230,000 usuarios solo en Colombia (Cohen, 2024)</w:t>
      </w:r>
      <w:r>
        <w:rPr>
          <w:rFonts w:ascii="Times New Roman" w:eastAsia="Times New Roman" w:hAnsi="Times New Roman" w:cs="Times New Roman"/>
          <w:sz w:val="22"/>
          <w:szCs w:val="22"/>
          <w:vertAlign w:val="superscript"/>
        </w:rPr>
        <w:footnoteReference w:id="51"/>
      </w:r>
      <w:r>
        <w:rPr>
          <w:rFonts w:ascii="Times New Roman" w:eastAsia="Times New Roman" w:hAnsi="Times New Roman" w:cs="Times New Roman"/>
          <w:sz w:val="22"/>
          <w:szCs w:val="22"/>
        </w:rPr>
        <w:t>.</w:t>
      </w:r>
    </w:p>
    <w:p w14:paraId="1CE6385D" w14:textId="77777777" w:rsidR="004D0443" w:rsidRDefault="004D0443">
      <w:pPr>
        <w:spacing w:line="276" w:lineRule="auto"/>
        <w:ind w:left="720"/>
        <w:jc w:val="both"/>
        <w:rPr>
          <w:rFonts w:ascii="Times New Roman" w:eastAsia="Times New Roman" w:hAnsi="Times New Roman" w:cs="Times New Roman"/>
          <w:sz w:val="22"/>
          <w:szCs w:val="22"/>
        </w:rPr>
      </w:pPr>
    </w:p>
    <w:p w14:paraId="1CE6385E" w14:textId="77777777" w:rsidR="004D0443" w:rsidRDefault="00DA3067">
      <w:pPr>
        <w:numPr>
          <w:ilvl w:val="0"/>
          <w:numId w:val="3"/>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Habi: </w:t>
      </w:r>
      <w:r>
        <w:rPr>
          <w:rFonts w:ascii="Times New Roman" w:eastAsia="Times New Roman" w:hAnsi="Times New Roman" w:cs="Times New Roman"/>
          <w:sz w:val="22"/>
          <w:szCs w:val="22"/>
        </w:rPr>
        <w:t>Esta proptech alcanzó el estatus de unicornio en 2022, después de levantar 200 millones de dólares en una ronda de financiación liderada por SoftBank y otros</w:t>
      </w:r>
      <w:r>
        <w:rPr>
          <w:rFonts w:ascii="Times New Roman" w:eastAsia="Times New Roman" w:hAnsi="Times New Roman" w:cs="Times New Roman"/>
          <w:sz w:val="22"/>
          <w:szCs w:val="22"/>
        </w:rPr>
        <w:t xml:space="preserve"> inversores. Actualmente, opera en más de 15 ciudades de Colombia y México, revolucionando el mercado inmobiliario con procesos de venta y compra de viviendas en tiempos récord. Fundada en 2019 por Sebastián Noguera y Brynne McNulty, Habi es una proptech q</w:t>
      </w:r>
      <w:r>
        <w:rPr>
          <w:rFonts w:ascii="Times New Roman" w:eastAsia="Times New Roman" w:hAnsi="Times New Roman" w:cs="Times New Roman"/>
          <w:sz w:val="22"/>
          <w:szCs w:val="22"/>
        </w:rPr>
        <w:t>ue se ha consolidado como la segunda startup colombiana en alcanzar el estatus de unicornio en 2022, con una valoración superior a los 1,000 millones de dólares. La empresa tiene un enfoque innovador al digitalizar el proceso de compra y venta de propiedad</w:t>
      </w:r>
      <w:r>
        <w:rPr>
          <w:rFonts w:ascii="Times New Roman" w:eastAsia="Times New Roman" w:hAnsi="Times New Roman" w:cs="Times New Roman"/>
          <w:sz w:val="22"/>
          <w:szCs w:val="22"/>
        </w:rPr>
        <w:t>es en Colombia y México, reduciendo el tiempo de transacción de meses a solo 10 días​ (Fernández, 2022)</w:t>
      </w:r>
      <w:r>
        <w:rPr>
          <w:rFonts w:ascii="Times New Roman" w:eastAsia="Times New Roman" w:hAnsi="Times New Roman" w:cs="Times New Roman"/>
          <w:sz w:val="22"/>
          <w:szCs w:val="22"/>
          <w:vertAlign w:val="superscript"/>
        </w:rPr>
        <w:footnoteReference w:id="52"/>
      </w:r>
      <w:r>
        <w:rPr>
          <w:rFonts w:ascii="Times New Roman" w:eastAsia="Times New Roman" w:hAnsi="Times New Roman" w:cs="Times New Roman"/>
          <w:sz w:val="22"/>
          <w:szCs w:val="22"/>
        </w:rPr>
        <w:t>.</w:t>
      </w:r>
    </w:p>
    <w:p w14:paraId="1CE6385F" w14:textId="77777777" w:rsidR="004D0443" w:rsidRDefault="004D0443">
      <w:pPr>
        <w:spacing w:line="276" w:lineRule="auto"/>
        <w:ind w:left="720"/>
        <w:jc w:val="both"/>
        <w:rPr>
          <w:rFonts w:ascii="Times New Roman" w:eastAsia="Times New Roman" w:hAnsi="Times New Roman" w:cs="Times New Roman"/>
          <w:sz w:val="22"/>
          <w:szCs w:val="22"/>
        </w:rPr>
      </w:pPr>
    </w:p>
    <w:p w14:paraId="1CE63860" w14:textId="77777777" w:rsidR="004D0443" w:rsidRDefault="00DA3067">
      <w:pPr>
        <w:numPr>
          <w:ilvl w:val="0"/>
          <w:numId w:val="3"/>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Merqueo: </w:t>
      </w:r>
      <w:r>
        <w:rPr>
          <w:rFonts w:ascii="Times New Roman" w:eastAsia="Times New Roman" w:hAnsi="Times New Roman" w:cs="Times New Roman"/>
          <w:sz w:val="22"/>
          <w:szCs w:val="22"/>
        </w:rPr>
        <w:t>Fundada en 2017. Es otra startup colombiana con gran impacto en el mercado digital. Su modelo de negocio, que abarca desde el aprovisionamie</w:t>
      </w:r>
      <w:r>
        <w:rPr>
          <w:rFonts w:ascii="Times New Roman" w:eastAsia="Times New Roman" w:hAnsi="Times New Roman" w:cs="Times New Roman"/>
          <w:sz w:val="22"/>
          <w:szCs w:val="22"/>
        </w:rPr>
        <w:t xml:space="preserve">nto hasta la entrega, le permite ofrecer productos directamente desde los fabricantes, reduciendo intermediarios y optimizando costos. En 2022, Merqueo completó una serie C de financiación, levantando 50 millones de dólares, lo que le permitió expandir su </w:t>
      </w:r>
      <w:r>
        <w:rPr>
          <w:rFonts w:ascii="Times New Roman" w:eastAsia="Times New Roman" w:hAnsi="Times New Roman" w:cs="Times New Roman"/>
          <w:sz w:val="22"/>
          <w:szCs w:val="22"/>
        </w:rPr>
        <w:t>presencia a México, uno de los mercados más grandes de la región ​(IDB Invest, 2021)</w:t>
      </w:r>
      <w:r>
        <w:rPr>
          <w:rFonts w:ascii="Times New Roman" w:eastAsia="Times New Roman" w:hAnsi="Times New Roman" w:cs="Times New Roman"/>
          <w:sz w:val="22"/>
          <w:szCs w:val="22"/>
          <w:vertAlign w:val="superscript"/>
        </w:rPr>
        <w:footnoteReference w:id="53"/>
      </w:r>
      <w:r>
        <w:rPr>
          <w:rFonts w:ascii="Times New Roman" w:eastAsia="Times New Roman" w:hAnsi="Times New Roman" w:cs="Times New Roman"/>
          <w:sz w:val="22"/>
          <w:szCs w:val="22"/>
        </w:rPr>
        <w:t>.</w:t>
      </w:r>
    </w:p>
    <w:p w14:paraId="1CE63861" w14:textId="77777777" w:rsidR="004D0443" w:rsidRDefault="004D0443">
      <w:pPr>
        <w:spacing w:line="276" w:lineRule="auto"/>
        <w:ind w:left="720"/>
        <w:jc w:val="both"/>
        <w:rPr>
          <w:rFonts w:ascii="Times New Roman" w:eastAsia="Times New Roman" w:hAnsi="Times New Roman" w:cs="Times New Roman"/>
          <w:sz w:val="22"/>
          <w:szCs w:val="22"/>
        </w:rPr>
      </w:pPr>
    </w:p>
    <w:p w14:paraId="1CE63862" w14:textId="77777777" w:rsidR="004D0443" w:rsidRDefault="00DA3067">
      <w:pPr>
        <w:numPr>
          <w:ilvl w:val="0"/>
          <w:numId w:val="3"/>
        </w:num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lastRenderedPageBreak/>
        <w:t>Ubits:</w:t>
      </w:r>
      <w:r>
        <w:rPr>
          <w:rFonts w:ascii="Times New Roman" w:eastAsia="Times New Roman" w:hAnsi="Times New Roman" w:cs="Times New Roman"/>
          <w:sz w:val="22"/>
          <w:szCs w:val="22"/>
        </w:rPr>
        <w:t xml:space="preserve"> Esta startup de edtech ha sido clave en la transformación de la educación empresarial en América Latina. Ofrece soluciones de capacitación en línea para empresas y ha expandido su presencia internacional con apoyo de inversiones clave (Tincello, 2022)</w:t>
      </w:r>
      <w:r>
        <w:rPr>
          <w:rFonts w:ascii="Times New Roman" w:eastAsia="Times New Roman" w:hAnsi="Times New Roman" w:cs="Times New Roman"/>
          <w:sz w:val="22"/>
          <w:szCs w:val="22"/>
          <w:vertAlign w:val="superscript"/>
        </w:rPr>
        <w:footnoteReference w:id="54"/>
      </w:r>
      <w:r>
        <w:rPr>
          <w:rFonts w:ascii="Times New Roman" w:eastAsia="Times New Roman" w:hAnsi="Times New Roman" w:cs="Times New Roman"/>
          <w:sz w:val="22"/>
          <w:szCs w:val="22"/>
        </w:rPr>
        <w:t>.</w:t>
      </w:r>
    </w:p>
    <w:p w14:paraId="1CE63863" w14:textId="77777777" w:rsidR="004D0443" w:rsidRDefault="004D0443">
      <w:pPr>
        <w:spacing w:line="276" w:lineRule="auto"/>
        <w:jc w:val="center"/>
        <w:rPr>
          <w:rFonts w:ascii="Times New Roman" w:eastAsia="Times New Roman" w:hAnsi="Times New Roman" w:cs="Times New Roman"/>
          <w:sz w:val="22"/>
          <w:szCs w:val="22"/>
        </w:rPr>
      </w:pPr>
    </w:p>
    <w:tbl>
      <w:tblPr>
        <w:tblStyle w:val="aff"/>
        <w:tblW w:w="910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950"/>
        <w:gridCol w:w="5685"/>
        <w:gridCol w:w="1470"/>
      </w:tblGrid>
      <w:tr w:rsidR="004D0443" w14:paraId="1CE63867" w14:textId="77777777">
        <w:trPr>
          <w:trHeight w:val="315"/>
        </w:trPr>
        <w:tc>
          <w:tcPr>
            <w:tcW w:w="1950" w:type="dxa"/>
            <w:tcBorders>
              <w:top w:val="single" w:sz="6" w:space="0" w:color="000000"/>
              <w:left w:val="single" w:sz="6" w:space="0" w:color="000000"/>
              <w:bottom w:val="single" w:sz="6" w:space="0" w:color="000000"/>
              <w:right w:val="single" w:sz="6" w:space="0" w:color="000000"/>
            </w:tcBorders>
            <w:shd w:val="clear" w:color="auto" w:fill="D9EAD3"/>
            <w:tcMar>
              <w:top w:w="40" w:type="dxa"/>
              <w:left w:w="40" w:type="dxa"/>
              <w:bottom w:w="40" w:type="dxa"/>
              <w:right w:w="40" w:type="dxa"/>
            </w:tcMar>
            <w:vAlign w:val="center"/>
          </w:tcPr>
          <w:p w14:paraId="1CE63864"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Empresa</w:t>
            </w:r>
          </w:p>
        </w:tc>
        <w:tc>
          <w:tcPr>
            <w:tcW w:w="5685" w:type="dxa"/>
            <w:tcBorders>
              <w:top w:val="single" w:sz="6" w:space="0" w:color="000000"/>
              <w:left w:val="single" w:sz="6" w:space="0" w:color="000000"/>
              <w:bottom w:val="single" w:sz="6" w:space="0" w:color="000000"/>
              <w:right w:val="single" w:sz="6" w:space="0" w:color="000000"/>
            </w:tcBorders>
            <w:shd w:val="clear" w:color="auto" w:fill="D9EAD3"/>
            <w:tcMar>
              <w:top w:w="40" w:type="dxa"/>
              <w:left w:w="40" w:type="dxa"/>
              <w:bottom w:w="40" w:type="dxa"/>
              <w:right w:w="40" w:type="dxa"/>
            </w:tcMar>
            <w:vAlign w:val="center"/>
          </w:tcPr>
          <w:p w14:paraId="1CE63865"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CEO/Fundadores</w:t>
            </w:r>
          </w:p>
        </w:tc>
        <w:tc>
          <w:tcPr>
            <w:tcW w:w="1470" w:type="dxa"/>
            <w:tcBorders>
              <w:top w:val="single" w:sz="6" w:space="0" w:color="000000"/>
              <w:left w:val="single" w:sz="6" w:space="0" w:color="000000"/>
              <w:bottom w:val="single" w:sz="6" w:space="0" w:color="000000"/>
              <w:right w:val="single" w:sz="6" w:space="0" w:color="000000"/>
            </w:tcBorders>
            <w:shd w:val="clear" w:color="auto" w:fill="D9EAD3"/>
            <w:tcMar>
              <w:top w:w="40" w:type="dxa"/>
              <w:left w:w="40" w:type="dxa"/>
              <w:bottom w:w="40" w:type="dxa"/>
              <w:right w:w="40" w:type="dxa"/>
            </w:tcMar>
            <w:vAlign w:val="center"/>
          </w:tcPr>
          <w:p w14:paraId="1CE63866"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Sector</w:t>
            </w:r>
          </w:p>
        </w:tc>
      </w:tr>
      <w:tr w:rsidR="004D0443" w14:paraId="1CE6386B" w14:textId="77777777">
        <w:trPr>
          <w:trHeight w:val="750"/>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68"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Rappi</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69"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Simón Borrero, Fundadores: Simón Borrero, Sebastián Mejía, Felipe Villamarín</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6A"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Comercio electrónico / Fintech</w:t>
            </w:r>
          </w:p>
        </w:tc>
      </w:tr>
      <w:tr w:rsidR="004D0443" w14:paraId="1CE6386F" w14:textId="77777777">
        <w:trPr>
          <w:trHeight w:val="525"/>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6C"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Habi</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6D"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Brynne McNulty Rojas, Fundadores: Brynne McNulty Rojas, Sebastián Noguera</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6E"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Proptech</w:t>
            </w:r>
          </w:p>
        </w:tc>
      </w:tr>
      <w:tr w:rsidR="004D0443" w14:paraId="1CE63873" w14:textId="77777777">
        <w:trPr>
          <w:trHeight w:val="750"/>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0"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La Haus</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1"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Presidente: Rodrigo Sánchez-Ríos, Fundadores: Jerónimo Uribe, Rodrigo Sánchez-Ríos, Santiago García, Tomás Uribe</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2"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Proptech</w:t>
            </w:r>
          </w:p>
        </w:tc>
      </w:tr>
      <w:tr w:rsidR="004D0443" w14:paraId="1CE63877" w14:textId="77777777">
        <w:trPr>
          <w:trHeight w:val="525"/>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4"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Frubana</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5"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y Fundador: Fabián Gómez Gutiérrez</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6"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Comercio electrónico</w:t>
            </w:r>
          </w:p>
        </w:tc>
      </w:tr>
      <w:tr w:rsidR="004D0443" w14:paraId="1CE6387B" w14:textId="77777777">
        <w:trPr>
          <w:trHeight w:val="750"/>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8"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Bold</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9"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José Vélez, Fundadores: José Fernando Vélez, Ana Sandoval, Enrique Ramírez, Sergio Vergara, Jorge Ulloa</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A"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Fintech</w:t>
            </w:r>
          </w:p>
        </w:tc>
      </w:tr>
      <w:tr w:rsidR="004D0443" w14:paraId="1CE6387F" w14:textId="77777777">
        <w:trPr>
          <w:trHeight w:val="525"/>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C"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Platzi</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D"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Freddy Vega, Fundadores: Freddy Vega, Christian Van Der Henst</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7E"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Edtech</w:t>
            </w:r>
          </w:p>
        </w:tc>
      </w:tr>
      <w:tr w:rsidR="004D0443" w14:paraId="1CE63883" w14:textId="77777777">
        <w:trPr>
          <w:trHeight w:val="525"/>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0"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Addi</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1"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Santiago Suárez, Fundadores: Santiago Suárez, Daniel Vallejo, Elmer Ortega</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2"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Fintech</w:t>
            </w:r>
          </w:p>
        </w:tc>
      </w:tr>
      <w:tr w:rsidR="004D0443" w14:paraId="1CE63887" w14:textId="77777777">
        <w:trPr>
          <w:trHeight w:val="525"/>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4"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Chiper</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5"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José Jair Bonilla, Fundadores: José Jair Bonilla, Óscar Sarria, Carolina García</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6"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Comercio electrónico</w:t>
            </w:r>
          </w:p>
        </w:tc>
      </w:tr>
      <w:tr w:rsidR="004D0443" w14:paraId="1CE6388B" w14:textId="77777777">
        <w:trPr>
          <w:trHeight w:val="525"/>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8"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Robinfood</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9"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CEO: José Guillermo Calderón, Fundadores: J</w:t>
            </w:r>
            <w:r>
              <w:rPr>
                <w:rFonts w:ascii="Times New Roman" w:eastAsia="Times New Roman" w:hAnsi="Times New Roman" w:cs="Times New Roman"/>
                <w:sz w:val="20"/>
                <w:szCs w:val="20"/>
              </w:rPr>
              <w:t>osé Guillermo Calderón, Miguel McAllister, Andrés Jaramillo</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A"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Alimentos</w:t>
            </w:r>
          </w:p>
        </w:tc>
      </w:tr>
      <w:tr w:rsidR="004D0443" w14:paraId="1CE6388F" w14:textId="77777777">
        <w:trPr>
          <w:trHeight w:val="525"/>
        </w:trPr>
        <w:tc>
          <w:tcPr>
            <w:tcW w:w="195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C"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Laika</w:t>
            </w:r>
          </w:p>
        </w:tc>
        <w:tc>
          <w:tcPr>
            <w:tcW w:w="5685"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D"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Fundadores: Camilo Sánchez, Manuela Sánchez, Tulio Jiménez, Andrea González</w:t>
            </w:r>
          </w:p>
        </w:tc>
        <w:tc>
          <w:tcPr>
            <w:tcW w:w="147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CE6388E"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Comercio electrónico</w:t>
            </w:r>
          </w:p>
        </w:tc>
      </w:tr>
    </w:tbl>
    <w:p w14:paraId="1CE63890" w14:textId="77777777" w:rsidR="004D0443" w:rsidRDefault="00DA3067">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lastRenderedPageBreak/>
        <w:t xml:space="preserve">Tabla 2: </w:t>
      </w:r>
      <w:r>
        <w:rPr>
          <w:rFonts w:ascii="Times New Roman" w:eastAsia="Times New Roman" w:hAnsi="Times New Roman" w:cs="Times New Roman"/>
          <w:sz w:val="20"/>
          <w:szCs w:val="20"/>
        </w:rPr>
        <w:t>Startups creadas en Colombia a 2023.</w:t>
      </w:r>
      <w:r>
        <w:rPr>
          <w:rFonts w:ascii="Times New Roman" w:eastAsia="Times New Roman" w:hAnsi="Times New Roman" w:cs="Times New Roman"/>
          <w:b/>
          <w:sz w:val="20"/>
          <w:szCs w:val="20"/>
        </w:rPr>
        <w:br/>
        <w:t xml:space="preserve">Fuente: </w:t>
      </w:r>
      <w:r>
        <w:rPr>
          <w:rFonts w:ascii="Times New Roman" w:eastAsia="Times New Roman" w:hAnsi="Times New Roman" w:cs="Times New Roman"/>
          <w:sz w:val="20"/>
          <w:szCs w:val="20"/>
        </w:rPr>
        <w:t>Forbes, 2023</w:t>
      </w:r>
      <w:r>
        <w:rPr>
          <w:rFonts w:ascii="Times New Roman" w:eastAsia="Times New Roman" w:hAnsi="Times New Roman" w:cs="Times New Roman"/>
          <w:sz w:val="20"/>
          <w:szCs w:val="20"/>
          <w:vertAlign w:val="superscript"/>
        </w:rPr>
        <w:footnoteReference w:id="55"/>
      </w:r>
    </w:p>
    <w:p w14:paraId="1CE63891" w14:textId="77777777" w:rsidR="004D0443" w:rsidRDefault="004D0443">
      <w:pPr>
        <w:spacing w:line="276" w:lineRule="auto"/>
        <w:jc w:val="center"/>
        <w:rPr>
          <w:rFonts w:ascii="Times New Roman" w:eastAsia="Times New Roman" w:hAnsi="Times New Roman" w:cs="Times New Roman"/>
          <w:sz w:val="22"/>
          <w:szCs w:val="22"/>
        </w:rPr>
      </w:pPr>
    </w:p>
    <w:p w14:paraId="1CE63892"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Aunque startups como Castia, Kravata, SEOS y Golazzos aún no han alcanzado la notoriedad de gigantes como Rappi o Habi, su crecimiento en sectores especializados los posiciona como actores clave en el ecosistema de startups en Colombia. Castia, por ejemplo</w:t>
      </w:r>
      <w:r>
        <w:rPr>
          <w:rFonts w:ascii="Times New Roman" w:eastAsia="Times New Roman" w:hAnsi="Times New Roman" w:cs="Times New Roman"/>
          <w:sz w:val="22"/>
          <w:szCs w:val="22"/>
        </w:rPr>
        <w:t>, está revolucionando el sector de la vivienda asequible con su enfoque en tecnología modular. Esta tecnología permite una construcción rápida y eficiente de viviendas, lo que la convierte en una solución prometedora frente al déficit habitacional en la re</w:t>
      </w:r>
      <w:r>
        <w:rPr>
          <w:rFonts w:ascii="Times New Roman" w:eastAsia="Times New Roman" w:hAnsi="Times New Roman" w:cs="Times New Roman"/>
          <w:sz w:val="22"/>
          <w:szCs w:val="22"/>
        </w:rPr>
        <w:t>gión. La innovación de Castia radica en su capacidad para reducir costos y tiempos de construcción, lo que la hace competitiva frente a otros modelos tradicionales de construcción​. (Contxto, 2024)</w:t>
      </w:r>
      <w:r>
        <w:rPr>
          <w:rFonts w:ascii="Times New Roman" w:eastAsia="Times New Roman" w:hAnsi="Times New Roman" w:cs="Times New Roman"/>
          <w:sz w:val="22"/>
          <w:szCs w:val="22"/>
          <w:vertAlign w:val="superscript"/>
        </w:rPr>
        <w:footnoteReference w:id="56"/>
      </w:r>
      <w:r>
        <w:rPr>
          <w:rFonts w:ascii="Times New Roman" w:eastAsia="Times New Roman" w:hAnsi="Times New Roman" w:cs="Times New Roman"/>
          <w:sz w:val="22"/>
          <w:szCs w:val="22"/>
        </w:rPr>
        <w:t>.</w:t>
      </w:r>
    </w:p>
    <w:p w14:paraId="1CE63893" w14:textId="77777777" w:rsidR="004D0443" w:rsidRDefault="004D0443">
      <w:pPr>
        <w:spacing w:line="276" w:lineRule="auto"/>
        <w:jc w:val="both"/>
        <w:rPr>
          <w:rFonts w:ascii="Times New Roman" w:eastAsia="Times New Roman" w:hAnsi="Times New Roman" w:cs="Times New Roman"/>
          <w:sz w:val="22"/>
          <w:szCs w:val="22"/>
        </w:rPr>
      </w:pPr>
    </w:p>
    <w:p w14:paraId="1CE63894"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Kravata y SEOS, por su parte, están impulsando la transformación en los sectores de tecnología y servicios financieros. Kravata se especializa en soluciones tecnológicas avanzadas para empresas, mientras que SEOS ofrece servicios financieros digitales que </w:t>
      </w:r>
      <w:r>
        <w:rPr>
          <w:rFonts w:ascii="Times New Roman" w:eastAsia="Times New Roman" w:hAnsi="Times New Roman" w:cs="Times New Roman"/>
          <w:sz w:val="22"/>
          <w:szCs w:val="22"/>
        </w:rPr>
        <w:t>buscan democratizar el acceso al financiamiento en mercados emergentes, facilitando soluciones fintech a empresas y particulares que anteriormente carecían de acceso a estos servicios​ (Contxto, 2024)</w:t>
      </w:r>
      <w:r>
        <w:rPr>
          <w:rFonts w:ascii="Times New Roman" w:eastAsia="Times New Roman" w:hAnsi="Times New Roman" w:cs="Times New Roman"/>
          <w:sz w:val="22"/>
          <w:szCs w:val="22"/>
          <w:vertAlign w:val="superscript"/>
        </w:rPr>
        <w:footnoteReference w:id="57"/>
      </w:r>
      <w:r>
        <w:rPr>
          <w:rFonts w:ascii="Times New Roman" w:eastAsia="Times New Roman" w:hAnsi="Times New Roman" w:cs="Times New Roman"/>
          <w:sz w:val="22"/>
          <w:szCs w:val="22"/>
        </w:rPr>
        <w:t>.</w:t>
      </w:r>
    </w:p>
    <w:p w14:paraId="1CE63895" w14:textId="77777777" w:rsidR="004D0443" w:rsidRDefault="00DA3067">
      <w:pPr>
        <w:spacing w:before="240" w:after="240" w:line="276"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2.8. Importancia del sector fintech</w:t>
      </w:r>
    </w:p>
    <w:p w14:paraId="1CE63896"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Como se ha eviden</w:t>
      </w:r>
      <w:r>
        <w:rPr>
          <w:rFonts w:ascii="Times New Roman" w:eastAsia="Times New Roman" w:hAnsi="Times New Roman" w:cs="Times New Roman"/>
          <w:sz w:val="22"/>
          <w:szCs w:val="22"/>
        </w:rPr>
        <w:t>ciado en los párrafos anteriores, algo que ocupa una gran relevancia como sector o nicho a la hora de crear una startup es el sector fintech.Para ello, es necesario comprender el término Fintech.</w:t>
      </w:r>
    </w:p>
    <w:p w14:paraId="1CE63897"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Se le conoce como fintech a las industrias que usan la tecno</w:t>
      </w:r>
      <w:r>
        <w:rPr>
          <w:rFonts w:ascii="Times New Roman" w:eastAsia="Times New Roman" w:hAnsi="Times New Roman" w:cs="Times New Roman"/>
          <w:sz w:val="22"/>
          <w:szCs w:val="22"/>
        </w:rPr>
        <w:t>logía para brindar servicios financieros de calidad. El término proviene de la unión de las palabras tecnología y finanzas (Métricas, 2023)</w:t>
      </w:r>
      <w:r>
        <w:rPr>
          <w:rFonts w:ascii="Times New Roman" w:eastAsia="Times New Roman" w:hAnsi="Times New Roman" w:cs="Times New Roman"/>
          <w:sz w:val="22"/>
          <w:szCs w:val="22"/>
          <w:vertAlign w:val="superscript"/>
        </w:rPr>
        <w:footnoteReference w:id="58"/>
      </w:r>
      <w:r>
        <w:rPr>
          <w:rFonts w:ascii="Times New Roman" w:eastAsia="Times New Roman" w:hAnsi="Times New Roman" w:cs="Times New Roman"/>
          <w:sz w:val="22"/>
          <w:szCs w:val="22"/>
        </w:rPr>
        <w:t>. En la práctica este tipo de servicios se ha visto reflejado en los medios de pago, infraestructura de servicios fi</w:t>
      </w:r>
      <w:r>
        <w:rPr>
          <w:rFonts w:ascii="Times New Roman" w:eastAsia="Times New Roman" w:hAnsi="Times New Roman" w:cs="Times New Roman"/>
          <w:sz w:val="22"/>
          <w:szCs w:val="22"/>
        </w:rPr>
        <w:t xml:space="preserve">nancieros, apis bancarias, créditos por medio de plataformas electrónicas, soluciones financieras, finanzas personales, mercados financieras, crowdfunding, insurtech, criptomonedas y entidades financieras disruptivas.  </w:t>
      </w:r>
    </w:p>
    <w:p w14:paraId="1CE63898"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Este tipo de empresas están creciend</w:t>
      </w:r>
      <w:r>
        <w:rPr>
          <w:rFonts w:ascii="Times New Roman" w:eastAsia="Times New Roman" w:hAnsi="Times New Roman" w:cs="Times New Roman"/>
          <w:sz w:val="22"/>
          <w:szCs w:val="22"/>
        </w:rPr>
        <w:t>o de forma exponencial. Hasta el 2021 el número de empresas fintech en América Latina era de 2,482. Es decir, del 2018 al 2021 el sector fintech tuvo un crecimiento del 112 % en América Latina de acuerdo con información del Banco Interamericano de Desarrol</w:t>
      </w:r>
      <w:r>
        <w:rPr>
          <w:rFonts w:ascii="Times New Roman" w:eastAsia="Times New Roman" w:hAnsi="Times New Roman" w:cs="Times New Roman"/>
          <w:sz w:val="22"/>
          <w:szCs w:val="22"/>
        </w:rPr>
        <w:t>lo (BID). En el caso colombiano el desarrollo exponencial del sector fintech llegó a su pico más alto, hasta el momento, en el año que termina (2022). Según datos de Colombia Fintech, entre 2020 y 2021, las instalaciones de fintech y la descarga de apps cr</w:t>
      </w:r>
      <w:r>
        <w:rPr>
          <w:rFonts w:ascii="Times New Roman" w:eastAsia="Times New Roman" w:hAnsi="Times New Roman" w:cs="Times New Roman"/>
          <w:sz w:val="22"/>
          <w:szCs w:val="22"/>
        </w:rPr>
        <w:t>ecieron en un 80% (Colombia Fintech, 2022)</w:t>
      </w:r>
      <w:r>
        <w:rPr>
          <w:rFonts w:ascii="Times New Roman" w:eastAsia="Times New Roman" w:hAnsi="Times New Roman" w:cs="Times New Roman"/>
          <w:sz w:val="22"/>
          <w:szCs w:val="22"/>
          <w:vertAlign w:val="superscript"/>
        </w:rPr>
        <w:footnoteReference w:id="59"/>
      </w:r>
      <w:r>
        <w:rPr>
          <w:rFonts w:ascii="Times New Roman" w:eastAsia="Times New Roman" w:hAnsi="Times New Roman" w:cs="Times New Roman"/>
          <w:sz w:val="22"/>
          <w:szCs w:val="22"/>
        </w:rPr>
        <w:t>.</w:t>
      </w:r>
    </w:p>
    <w:p w14:paraId="1CE63899" w14:textId="77777777" w:rsidR="004D0443" w:rsidRDefault="00DA3067">
      <w:pPr>
        <w:spacing w:before="240" w:after="240" w:line="276" w:lineRule="auto"/>
        <w:jc w:val="center"/>
        <w:rPr>
          <w:rFonts w:ascii="Times New Roman" w:eastAsia="Times New Roman" w:hAnsi="Times New Roman" w:cs="Times New Roman"/>
          <w:sz w:val="22"/>
          <w:szCs w:val="22"/>
        </w:rPr>
      </w:pPr>
      <w:r>
        <w:rPr>
          <w:rFonts w:ascii="Times New Roman" w:eastAsia="Times New Roman" w:hAnsi="Times New Roman" w:cs="Times New Roman"/>
          <w:noProof/>
          <w:sz w:val="22"/>
          <w:szCs w:val="22"/>
          <w:lang w:val="es-CO"/>
        </w:rPr>
        <w:lastRenderedPageBreak/>
        <w:drawing>
          <wp:inline distT="114300" distB="114300" distL="114300" distR="114300" wp14:anchorId="1CE63A0D" wp14:editId="1CE63A0E">
            <wp:extent cx="5468438" cy="5089671"/>
            <wp:effectExtent l="0" t="0" r="0" b="0"/>
            <wp:docPr id="14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8"/>
                    <a:srcRect/>
                    <a:stretch>
                      <a:fillRect/>
                    </a:stretch>
                  </pic:blipFill>
                  <pic:spPr>
                    <a:xfrm>
                      <a:off x="0" y="0"/>
                      <a:ext cx="5468438" cy="5089671"/>
                    </a:xfrm>
                    <a:prstGeom prst="rect">
                      <a:avLst/>
                    </a:prstGeom>
                    <a:ln/>
                  </pic:spPr>
                </pic:pic>
              </a:graphicData>
            </a:graphic>
          </wp:inline>
        </w:drawing>
      </w:r>
    </w:p>
    <w:p w14:paraId="1CE6389A" w14:textId="77777777" w:rsidR="004D0443" w:rsidRDefault="00DA3067">
      <w:pPr>
        <w:spacing w:before="240" w:after="24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 xml:space="preserve">Imagen 9: </w:t>
      </w:r>
      <w:r>
        <w:rPr>
          <w:rFonts w:ascii="Times New Roman" w:eastAsia="Times New Roman" w:hAnsi="Times New Roman" w:cs="Times New Roman"/>
          <w:sz w:val="20"/>
          <w:szCs w:val="20"/>
        </w:rPr>
        <w:t>Principales países con ecosistemas Fintech en Latinoamérica.</w:t>
      </w:r>
      <w:r>
        <w:rPr>
          <w:rFonts w:ascii="Times New Roman" w:eastAsia="Times New Roman" w:hAnsi="Times New Roman" w:cs="Times New Roman"/>
          <w:sz w:val="20"/>
          <w:szCs w:val="20"/>
        </w:rPr>
        <w:br/>
      </w:r>
      <w:r>
        <w:rPr>
          <w:rFonts w:ascii="Times New Roman" w:eastAsia="Times New Roman" w:hAnsi="Times New Roman" w:cs="Times New Roman"/>
          <w:b/>
          <w:sz w:val="20"/>
          <w:szCs w:val="20"/>
        </w:rPr>
        <w:t xml:space="preserve">Fuente: </w:t>
      </w:r>
      <w:r>
        <w:rPr>
          <w:rFonts w:ascii="Times New Roman" w:eastAsia="Times New Roman" w:hAnsi="Times New Roman" w:cs="Times New Roman"/>
          <w:sz w:val="20"/>
          <w:szCs w:val="20"/>
        </w:rPr>
        <w:t>Deloitte Colombia, 2023</w:t>
      </w:r>
      <w:r>
        <w:rPr>
          <w:rFonts w:ascii="Times New Roman" w:eastAsia="Times New Roman" w:hAnsi="Times New Roman" w:cs="Times New Roman"/>
          <w:sz w:val="20"/>
          <w:szCs w:val="20"/>
          <w:vertAlign w:val="superscript"/>
        </w:rPr>
        <w:footnoteReference w:id="60"/>
      </w:r>
      <w:r>
        <w:rPr>
          <w:rFonts w:ascii="Times New Roman" w:eastAsia="Times New Roman" w:hAnsi="Times New Roman" w:cs="Times New Roman"/>
          <w:sz w:val="20"/>
          <w:szCs w:val="20"/>
        </w:rPr>
        <w:t>.</w:t>
      </w:r>
    </w:p>
    <w:p w14:paraId="1CE6389B"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De 2017 a 2021, la región pasó de contar con 703 emprendimientos Fintech a tener 2.482, representando as</w:t>
      </w:r>
      <w:r>
        <w:rPr>
          <w:rFonts w:ascii="Times New Roman" w:eastAsia="Times New Roman" w:hAnsi="Times New Roman" w:cs="Times New Roman"/>
          <w:sz w:val="22"/>
          <w:szCs w:val="22"/>
        </w:rPr>
        <w:t>í el 22.6% de todas las empresas del sector a nivel mundial. Actualmente, los países de mayor relevancia son: Brasil y México, seguidos por Colombia, Argentina y Chile. Estos cinco países concentran el 81% de las fintech de la región. Entre ellos, hay 8 ci</w:t>
      </w:r>
      <w:r>
        <w:rPr>
          <w:rFonts w:ascii="Times New Roman" w:eastAsia="Times New Roman" w:hAnsi="Times New Roman" w:cs="Times New Roman"/>
          <w:sz w:val="22"/>
          <w:szCs w:val="22"/>
        </w:rPr>
        <w:t>udades que están consideradas como hubs para el desarrollo de la industria: Ciudad de México, Medellín, Bogotá, Belo Horizonte, Río de Janeiro, São Paulo, Santiago de Chile y Buenos Aires.</w:t>
      </w:r>
    </w:p>
    <w:p w14:paraId="1CE6389C" w14:textId="77777777" w:rsidR="004D0443" w:rsidRDefault="004D0443">
      <w:pPr>
        <w:spacing w:line="276" w:lineRule="auto"/>
        <w:jc w:val="both"/>
        <w:rPr>
          <w:rFonts w:ascii="Times New Roman" w:eastAsia="Times New Roman" w:hAnsi="Times New Roman" w:cs="Times New Roman"/>
          <w:sz w:val="22"/>
          <w:szCs w:val="22"/>
        </w:rPr>
      </w:pPr>
    </w:p>
    <w:p w14:paraId="1CE6389D"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Hoy las fintech son claves para la economía de los países, gracias a la inclusión financiera que estas logran y, especialmente, en regiones donde el acceso a servicios financieros tradicionales ha sido limitado. Según Aizenman (2023)</w:t>
      </w:r>
      <w:r>
        <w:rPr>
          <w:rFonts w:ascii="Times New Roman" w:eastAsia="Times New Roman" w:hAnsi="Times New Roman" w:cs="Times New Roman"/>
          <w:sz w:val="22"/>
          <w:szCs w:val="22"/>
          <w:vertAlign w:val="superscript"/>
        </w:rPr>
        <w:footnoteReference w:id="61"/>
      </w:r>
      <w:r>
        <w:rPr>
          <w:rFonts w:ascii="Times New Roman" w:eastAsia="Times New Roman" w:hAnsi="Times New Roman" w:cs="Times New Roman"/>
          <w:sz w:val="22"/>
          <w:szCs w:val="22"/>
        </w:rPr>
        <w:t>, las fintech están de</w:t>
      </w:r>
      <w:r>
        <w:rPr>
          <w:rFonts w:ascii="Times New Roman" w:eastAsia="Times New Roman" w:hAnsi="Times New Roman" w:cs="Times New Roman"/>
          <w:sz w:val="22"/>
          <w:szCs w:val="22"/>
        </w:rPr>
        <w:t>mocratizando el acceso a servicios financieros, permitiendo que un número sin precedentes de personas pueda contar con productos de este sector que antes estaban disponibles únicamente para instituciones más grandes. Este acceso ampliado es un pilar fundam</w:t>
      </w:r>
      <w:r>
        <w:rPr>
          <w:rFonts w:ascii="Times New Roman" w:eastAsia="Times New Roman" w:hAnsi="Times New Roman" w:cs="Times New Roman"/>
          <w:sz w:val="22"/>
          <w:szCs w:val="22"/>
        </w:rPr>
        <w:t xml:space="preserve">ental para impulsar la inclusión financiera, que es clave para el desarrollo económico. </w:t>
      </w:r>
    </w:p>
    <w:p w14:paraId="1CE6389E" w14:textId="77777777" w:rsidR="004D0443" w:rsidRDefault="004D0443">
      <w:pPr>
        <w:spacing w:line="276" w:lineRule="auto"/>
        <w:jc w:val="both"/>
        <w:rPr>
          <w:rFonts w:ascii="Times New Roman" w:eastAsia="Times New Roman" w:hAnsi="Times New Roman" w:cs="Times New Roman"/>
          <w:sz w:val="22"/>
          <w:szCs w:val="22"/>
        </w:rPr>
      </w:pPr>
    </w:p>
    <w:p w14:paraId="1CE6389F"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Según el Banco Interamericano de Desarrollo (BID) (2020)</w:t>
      </w:r>
      <w:r>
        <w:rPr>
          <w:rFonts w:ascii="Times New Roman" w:eastAsia="Times New Roman" w:hAnsi="Times New Roman" w:cs="Times New Roman"/>
          <w:sz w:val="22"/>
          <w:szCs w:val="22"/>
          <w:vertAlign w:val="superscript"/>
        </w:rPr>
        <w:footnoteReference w:id="62"/>
      </w:r>
      <w:r>
        <w:rPr>
          <w:rFonts w:ascii="Times New Roman" w:eastAsia="Times New Roman" w:hAnsi="Times New Roman" w:cs="Times New Roman"/>
          <w:sz w:val="22"/>
          <w:szCs w:val="22"/>
        </w:rPr>
        <w:t>, las fintech han revolucionado el financiamiento a las mipymes, permitiendo que un 95% de sus clientes sean empresas previamente excluidas del sistema financiero formal​. Las fintech han logrado ampliar el acceso a productos como créditos, pagos digitales</w:t>
      </w:r>
      <w:r>
        <w:rPr>
          <w:rFonts w:ascii="Times New Roman" w:eastAsia="Times New Roman" w:hAnsi="Times New Roman" w:cs="Times New Roman"/>
          <w:sz w:val="22"/>
          <w:szCs w:val="22"/>
        </w:rPr>
        <w:t xml:space="preserve"> y herramientas de gestión financiera. Esto ha permitido que sectores marginados, tanto en zonas rurales como urbanas, participen en la economía formal, mejorando la capacidad de las empresas para digitalizarse y formalizarse. De acuerdo con el BID, la ado</w:t>
      </w:r>
      <w:r>
        <w:rPr>
          <w:rFonts w:ascii="Times New Roman" w:eastAsia="Times New Roman" w:hAnsi="Times New Roman" w:cs="Times New Roman"/>
          <w:sz w:val="22"/>
          <w:szCs w:val="22"/>
        </w:rPr>
        <w:t>pción de nuevas tecnologías, así como  la colaboración entre plataformas fintech y bancos tradicionales ha facilitado la expansión del crédito y otros productos financieros para mipymes​​.</w:t>
      </w:r>
    </w:p>
    <w:p w14:paraId="1CE638A0" w14:textId="77777777" w:rsidR="004D0443" w:rsidRDefault="004D0443">
      <w:pPr>
        <w:spacing w:line="276" w:lineRule="auto"/>
        <w:jc w:val="both"/>
        <w:rPr>
          <w:rFonts w:ascii="Times New Roman" w:eastAsia="Times New Roman" w:hAnsi="Times New Roman" w:cs="Times New Roman"/>
          <w:sz w:val="22"/>
          <w:szCs w:val="22"/>
        </w:rPr>
      </w:pPr>
    </w:p>
    <w:p w14:paraId="1CE638A1" w14:textId="77777777" w:rsidR="004D0443" w:rsidRDefault="00DA3067">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sz w:val="22"/>
          <w:szCs w:val="22"/>
        </w:rPr>
        <w:lastRenderedPageBreak/>
        <w:t>La educación financiera también ha sido un aspecto esencial para e</w:t>
      </w:r>
      <w:r>
        <w:rPr>
          <w:rFonts w:ascii="Times New Roman" w:eastAsia="Times New Roman" w:hAnsi="Times New Roman" w:cs="Times New Roman"/>
          <w:sz w:val="22"/>
          <w:szCs w:val="22"/>
        </w:rPr>
        <w:t>l éxito de la inclusión. Las fintech han desarrollado aplicaciones y plataformas que no sólo proporcionan acceso a servicios financieros, sino que educan a los usuarios en temas de ahorro, inversión y gestión financiera. Según Aizenman (2023)</w:t>
      </w:r>
      <w:r>
        <w:rPr>
          <w:rFonts w:ascii="Times New Roman" w:eastAsia="Times New Roman" w:hAnsi="Times New Roman" w:cs="Times New Roman"/>
          <w:sz w:val="22"/>
          <w:szCs w:val="22"/>
          <w:vertAlign w:val="superscript"/>
        </w:rPr>
        <w:footnoteReference w:id="63"/>
      </w:r>
      <w:r>
        <w:rPr>
          <w:rFonts w:ascii="Times New Roman" w:eastAsia="Times New Roman" w:hAnsi="Times New Roman" w:cs="Times New Roman"/>
          <w:sz w:val="22"/>
          <w:szCs w:val="22"/>
        </w:rPr>
        <w:t>, esta educac</w:t>
      </w:r>
      <w:r>
        <w:rPr>
          <w:rFonts w:ascii="Times New Roman" w:eastAsia="Times New Roman" w:hAnsi="Times New Roman" w:cs="Times New Roman"/>
          <w:sz w:val="22"/>
          <w:szCs w:val="22"/>
        </w:rPr>
        <w:t xml:space="preserve">ión financiera ha sido clave para que los usuarios comprendan mejor los productos disponibles y tomen decisiones más informadas sobre su dinero​​. </w:t>
      </w:r>
    </w:p>
    <w:p w14:paraId="1CE638A2" w14:textId="77777777" w:rsidR="004D0443" w:rsidRDefault="004D0443">
      <w:pPr>
        <w:spacing w:line="276" w:lineRule="auto"/>
        <w:jc w:val="both"/>
        <w:rPr>
          <w:rFonts w:ascii="Times New Roman" w:eastAsia="Times New Roman" w:hAnsi="Times New Roman" w:cs="Times New Roman"/>
          <w:sz w:val="22"/>
          <w:szCs w:val="22"/>
        </w:rPr>
      </w:pPr>
    </w:p>
    <w:p w14:paraId="1CE638A3" w14:textId="77777777" w:rsidR="004D0443" w:rsidRDefault="00DA3067">
      <w:pPr>
        <w:spacing w:before="240" w:after="240"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2.9. Innovaciones recientes en Startups y su impacto.</w:t>
      </w:r>
    </w:p>
    <w:p w14:paraId="1CE638A4"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Según Cardona (2024)</w:t>
      </w:r>
      <w:r>
        <w:rPr>
          <w:rFonts w:ascii="Times New Roman" w:eastAsia="Times New Roman" w:hAnsi="Times New Roman" w:cs="Times New Roman"/>
          <w:sz w:val="22"/>
          <w:szCs w:val="22"/>
          <w:vertAlign w:val="superscript"/>
        </w:rPr>
        <w:footnoteReference w:id="64"/>
      </w:r>
      <w:r>
        <w:rPr>
          <w:rFonts w:ascii="Times New Roman" w:eastAsia="Times New Roman" w:hAnsi="Times New Roman" w:cs="Times New Roman"/>
          <w:sz w:val="22"/>
          <w:szCs w:val="22"/>
        </w:rPr>
        <w:t xml:space="preserve"> Las startups en Colombia y Amér</w:t>
      </w:r>
      <w:r>
        <w:rPr>
          <w:rFonts w:ascii="Times New Roman" w:eastAsia="Times New Roman" w:hAnsi="Times New Roman" w:cs="Times New Roman"/>
          <w:sz w:val="22"/>
          <w:szCs w:val="22"/>
        </w:rPr>
        <w:t xml:space="preserve">ica Latina están impulsando innovaciones clave en sectores como las finanzas, la agricultura y la energía. Ejemplos destacados incluyen a: </w:t>
      </w:r>
    </w:p>
    <w:p w14:paraId="1CE638A5"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AAvance</w:t>
      </w:r>
      <w:r>
        <w:rPr>
          <w:rFonts w:ascii="Times New Roman" w:eastAsia="Times New Roman" w:hAnsi="Times New Roman" w:cs="Times New Roman"/>
          <w:sz w:val="22"/>
          <w:szCs w:val="22"/>
        </w:rPr>
        <w:t>: Una fintech centrada en la inclusión financiera, enfocada en migrantes retornados y personas desbancarizada</w:t>
      </w:r>
      <w:r>
        <w:rPr>
          <w:rFonts w:ascii="Times New Roman" w:eastAsia="Times New Roman" w:hAnsi="Times New Roman" w:cs="Times New Roman"/>
          <w:sz w:val="22"/>
          <w:szCs w:val="22"/>
        </w:rPr>
        <w:t>s. Ofrece productos como tarjetas de débito y la posibilidad de crear historial crediticio, fomentando la educación financiera y el acceso a créditos para poblaciones tradicionalmente excluidas.</w:t>
      </w:r>
    </w:p>
    <w:p w14:paraId="1CE638A6"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Monet</w:t>
      </w:r>
      <w:r>
        <w:rPr>
          <w:rFonts w:ascii="Times New Roman" w:eastAsia="Times New Roman" w:hAnsi="Times New Roman" w:cs="Times New Roman"/>
          <w:sz w:val="22"/>
          <w:szCs w:val="22"/>
        </w:rPr>
        <w:t>: Otra fintech que proporciona adelantos salariales util</w:t>
      </w:r>
      <w:r>
        <w:rPr>
          <w:rFonts w:ascii="Times New Roman" w:eastAsia="Times New Roman" w:hAnsi="Times New Roman" w:cs="Times New Roman"/>
          <w:sz w:val="22"/>
          <w:szCs w:val="22"/>
        </w:rPr>
        <w:t>izando un algoritmo de crédito innovador basado en datos alternativos. Ha logrado más de un millón de créditos y se ha aliado con grandes bancos como Nequi y Bancolombia. Planea expandirse a México, ofreciendo soluciones de crédito más accesibles y justas.</w:t>
      </w:r>
    </w:p>
    <w:p w14:paraId="1CE638A7"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Superfrutti</w:t>
      </w:r>
      <w:r>
        <w:rPr>
          <w:rFonts w:ascii="Times New Roman" w:eastAsia="Times New Roman" w:hAnsi="Times New Roman" w:cs="Times New Roman"/>
          <w:sz w:val="22"/>
          <w:szCs w:val="22"/>
        </w:rPr>
        <w:t>: Esta startup conecta a agricultores con dueños de negocios mediante tecnología e inteligencia artificial para optimizar la cadena de suministro agrícola. Ha integrado a pequeños productores en el mercado formal, mejorando la eficiencia y gara</w:t>
      </w:r>
      <w:r>
        <w:rPr>
          <w:rFonts w:ascii="Times New Roman" w:eastAsia="Times New Roman" w:hAnsi="Times New Roman" w:cs="Times New Roman"/>
          <w:sz w:val="22"/>
          <w:szCs w:val="22"/>
        </w:rPr>
        <w:t>ntizando precios justos.</w:t>
      </w:r>
    </w:p>
    <w:p w14:paraId="1CE638A8" w14:textId="77777777" w:rsidR="004D0443" w:rsidRDefault="00DA3067">
      <w:pPr>
        <w:spacing w:before="240" w:after="240" w:line="276" w:lineRule="auto"/>
        <w:jc w:val="center"/>
        <w:rPr>
          <w:rFonts w:ascii="Times New Roman" w:eastAsia="Times New Roman" w:hAnsi="Times New Roman" w:cs="Times New Roman"/>
          <w:b/>
          <w:sz w:val="20"/>
          <w:szCs w:val="20"/>
        </w:rPr>
      </w:pPr>
      <w:r>
        <w:rPr>
          <w:rFonts w:ascii="Times New Roman" w:eastAsia="Times New Roman" w:hAnsi="Times New Roman" w:cs="Times New Roman"/>
          <w:noProof/>
          <w:sz w:val="22"/>
          <w:szCs w:val="22"/>
          <w:lang w:val="es-CO"/>
        </w:rPr>
        <w:lastRenderedPageBreak/>
        <w:drawing>
          <wp:inline distT="114300" distB="114300" distL="114300" distR="114300" wp14:anchorId="1CE63A0F" wp14:editId="1CE63A10">
            <wp:extent cx="1890713" cy="3781425"/>
            <wp:effectExtent l="0" t="0" r="0" b="0"/>
            <wp:docPr id="144"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9"/>
                    <a:srcRect/>
                    <a:stretch>
                      <a:fillRect/>
                    </a:stretch>
                  </pic:blipFill>
                  <pic:spPr>
                    <a:xfrm>
                      <a:off x="0" y="0"/>
                      <a:ext cx="1890713" cy="3781425"/>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Imagen 10: </w:t>
      </w:r>
      <w:r>
        <w:rPr>
          <w:rFonts w:ascii="Times New Roman" w:eastAsia="Times New Roman" w:hAnsi="Times New Roman" w:cs="Times New Roman"/>
          <w:sz w:val="20"/>
          <w:szCs w:val="20"/>
        </w:rPr>
        <w:t>Interfaz de Superfrutti.</w:t>
      </w:r>
      <w:r>
        <w:rPr>
          <w:rFonts w:ascii="Times New Roman" w:eastAsia="Times New Roman" w:hAnsi="Times New Roman" w:cs="Times New Roman"/>
          <w:sz w:val="20"/>
          <w:szCs w:val="20"/>
        </w:rPr>
        <w:br/>
      </w:r>
      <w:r>
        <w:rPr>
          <w:rFonts w:ascii="Times New Roman" w:eastAsia="Times New Roman" w:hAnsi="Times New Roman" w:cs="Times New Roman"/>
          <w:b/>
          <w:sz w:val="20"/>
          <w:szCs w:val="20"/>
        </w:rPr>
        <w:t xml:space="preserve">Fuente: </w:t>
      </w:r>
      <w:r>
        <w:rPr>
          <w:rFonts w:ascii="Times New Roman" w:eastAsia="Times New Roman" w:hAnsi="Times New Roman" w:cs="Times New Roman"/>
          <w:sz w:val="20"/>
          <w:szCs w:val="20"/>
        </w:rPr>
        <w:t>ValoraAnalitik, 2024</w:t>
      </w:r>
      <w:r>
        <w:rPr>
          <w:rFonts w:ascii="Times New Roman" w:eastAsia="Times New Roman" w:hAnsi="Times New Roman" w:cs="Times New Roman"/>
          <w:sz w:val="20"/>
          <w:szCs w:val="20"/>
          <w:vertAlign w:val="superscript"/>
        </w:rPr>
        <w:footnoteReference w:id="65"/>
      </w:r>
      <w:r>
        <w:rPr>
          <w:rFonts w:ascii="Times New Roman" w:eastAsia="Times New Roman" w:hAnsi="Times New Roman" w:cs="Times New Roman"/>
          <w:b/>
          <w:sz w:val="20"/>
          <w:szCs w:val="20"/>
        </w:rPr>
        <w:t>.</w:t>
      </w:r>
    </w:p>
    <w:p w14:paraId="1CE638A9"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Decimetrix</w:t>
      </w:r>
      <w:r>
        <w:rPr>
          <w:rFonts w:ascii="Times New Roman" w:eastAsia="Times New Roman" w:hAnsi="Times New Roman" w:cs="Times New Roman"/>
          <w:sz w:val="22"/>
          <w:szCs w:val="22"/>
        </w:rPr>
        <w:t>: Especializada en la gestión de emisiones y sostenibilidad en la industria energética, ofrece una plataforma para gestionar la huella de carbono. Se ha</w:t>
      </w:r>
      <w:r>
        <w:rPr>
          <w:rFonts w:ascii="Times New Roman" w:eastAsia="Times New Roman" w:hAnsi="Times New Roman" w:cs="Times New Roman"/>
          <w:sz w:val="22"/>
          <w:szCs w:val="22"/>
        </w:rPr>
        <w:t xml:space="preserve"> consolidado como líder en la transformación digital de la industria energética con soluciones para hacerla más eficiente y sostenible.</w:t>
      </w:r>
    </w:p>
    <w:p w14:paraId="1CE638AA"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Según Saavedra (2024)</w:t>
      </w:r>
      <w:r>
        <w:rPr>
          <w:rFonts w:ascii="Times New Roman" w:eastAsia="Times New Roman" w:hAnsi="Times New Roman" w:cs="Times New Roman"/>
          <w:sz w:val="22"/>
          <w:szCs w:val="22"/>
          <w:vertAlign w:val="superscript"/>
        </w:rPr>
        <w:footnoteReference w:id="66"/>
      </w:r>
      <w:r>
        <w:rPr>
          <w:rFonts w:ascii="Times New Roman" w:eastAsia="Times New Roman" w:hAnsi="Times New Roman" w:cs="Times New Roman"/>
          <w:sz w:val="22"/>
          <w:szCs w:val="22"/>
        </w:rPr>
        <w:t>, en el evento StartCo 2024, celebrado en Bogotá,  se reunieron  a las startups más prometedoras de la región, destacadas  por su enfoque en la innovación tecnológica y la digitalización de servicios. Este evento se ha consolidado como un referente para el</w:t>
      </w:r>
      <w:r>
        <w:rPr>
          <w:rFonts w:ascii="Times New Roman" w:eastAsia="Times New Roman" w:hAnsi="Times New Roman" w:cs="Times New Roman"/>
          <w:sz w:val="22"/>
          <w:szCs w:val="22"/>
        </w:rPr>
        <w:t xml:space="preserve"> ecosistema </w:t>
      </w:r>
      <w:r>
        <w:rPr>
          <w:rFonts w:ascii="Times New Roman" w:eastAsia="Times New Roman" w:hAnsi="Times New Roman" w:cs="Times New Roman"/>
          <w:sz w:val="22"/>
          <w:szCs w:val="22"/>
        </w:rPr>
        <w:lastRenderedPageBreak/>
        <w:t>emprendedor en Colombia y América Latina, atrayendo a más de 14.200 asistentes, 320 inversionistas y 300 startups. Durante el evento, se concretaron intenciones de inversión por 4.8 millones de dólares y se logró financiar a emprendedores por 1</w:t>
      </w:r>
      <w:r>
        <w:rPr>
          <w:rFonts w:ascii="Times New Roman" w:eastAsia="Times New Roman" w:hAnsi="Times New Roman" w:cs="Times New Roman"/>
          <w:sz w:val="22"/>
          <w:szCs w:val="22"/>
        </w:rPr>
        <w:t>.3 millones de dólares. Entre las startups destacadas, Mancii sobresalió por su uso de inteligencia artificial para ayudar a los estudiantes a encontrar instituciones educativas que se adapten a sus necesidades y metas, conectándose directamente con ellas.</w:t>
      </w:r>
      <w:r>
        <w:rPr>
          <w:rFonts w:ascii="Times New Roman" w:eastAsia="Times New Roman" w:hAnsi="Times New Roman" w:cs="Times New Roman"/>
          <w:sz w:val="22"/>
          <w:szCs w:val="22"/>
        </w:rPr>
        <w:t xml:space="preserve"> Este enfoque personalizado facilita la búsqueda de oportunidades educativas, lo que resulta en una mejor orientación para los jóvenes.</w:t>
      </w:r>
    </w:p>
    <w:p w14:paraId="1CE638AB"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Otra startup destacada es Autoparti, una plataforma digital creada para las pymes del sector automotriz. Permite que las</w:t>
      </w:r>
      <w:r>
        <w:rPr>
          <w:rFonts w:ascii="Times New Roman" w:eastAsia="Times New Roman" w:hAnsi="Times New Roman" w:cs="Times New Roman"/>
          <w:sz w:val="22"/>
          <w:szCs w:val="22"/>
        </w:rPr>
        <w:t xml:space="preserve"> pequeñas y medianas empresas del sector muestren sus servicios de manera digital, facilitando que los usuarios encuentren y compren autopartes y servicios de manera rápida y eficiente. Esto ha significado una transformación en la forma en que las pymes ac</w:t>
      </w:r>
      <w:r>
        <w:rPr>
          <w:rFonts w:ascii="Times New Roman" w:eastAsia="Times New Roman" w:hAnsi="Times New Roman" w:cs="Times New Roman"/>
          <w:sz w:val="22"/>
          <w:szCs w:val="22"/>
        </w:rPr>
        <w:t>ceden a los mercados, mejorando la visibilidad y alcance de sus productos (Saavedra, 2024)</w:t>
      </w:r>
      <w:r>
        <w:rPr>
          <w:rFonts w:ascii="Times New Roman" w:eastAsia="Times New Roman" w:hAnsi="Times New Roman" w:cs="Times New Roman"/>
          <w:sz w:val="22"/>
          <w:szCs w:val="22"/>
          <w:vertAlign w:val="superscript"/>
        </w:rPr>
        <w:footnoteReference w:id="67"/>
      </w:r>
      <w:r>
        <w:rPr>
          <w:rFonts w:ascii="Times New Roman" w:eastAsia="Times New Roman" w:hAnsi="Times New Roman" w:cs="Times New Roman"/>
          <w:sz w:val="22"/>
          <w:szCs w:val="22"/>
        </w:rPr>
        <w:t>.</w:t>
      </w:r>
    </w:p>
    <w:p w14:paraId="1CE638AC"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Fasil, otra de las finalistas, ofrece una plataforma que optimiza el proceso de compra de vivienda en Colombia, facilitando la búsqueda y adquisición de propiedade</w:t>
      </w:r>
      <w:r>
        <w:rPr>
          <w:rFonts w:ascii="Times New Roman" w:eastAsia="Times New Roman" w:hAnsi="Times New Roman" w:cs="Times New Roman"/>
          <w:sz w:val="22"/>
          <w:szCs w:val="22"/>
        </w:rPr>
        <w:t>s. Por otro lado, Inkoms, una WealthTech, provee soluciones digitales enfocadas en ahorro e inversión, permitiendo a los usuarios gestionar mejor sus finanzas y aumentar sus oportunidades de inversión. Estas startups son solo algunas de las que están lider</w:t>
      </w:r>
      <w:r>
        <w:rPr>
          <w:rFonts w:ascii="Times New Roman" w:eastAsia="Times New Roman" w:hAnsi="Times New Roman" w:cs="Times New Roman"/>
          <w:sz w:val="22"/>
          <w:szCs w:val="22"/>
        </w:rPr>
        <w:t>ando la transformación digital y la innovación en diversos sectores clave para la economía regional (Saavedra, 2024)</w:t>
      </w:r>
      <w:r>
        <w:rPr>
          <w:rFonts w:ascii="Times New Roman" w:eastAsia="Times New Roman" w:hAnsi="Times New Roman" w:cs="Times New Roman"/>
          <w:sz w:val="22"/>
          <w:szCs w:val="22"/>
          <w:vertAlign w:val="superscript"/>
        </w:rPr>
        <w:footnoteReference w:id="68"/>
      </w:r>
      <w:r>
        <w:rPr>
          <w:rFonts w:ascii="Times New Roman" w:eastAsia="Times New Roman" w:hAnsi="Times New Roman" w:cs="Times New Roman"/>
          <w:sz w:val="22"/>
          <w:szCs w:val="22"/>
        </w:rPr>
        <w:t>.</w:t>
      </w:r>
    </w:p>
    <w:p w14:paraId="1CE638AD"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artículo "Innovaciones en Startups de IA: Impulsando el Desarrollo Tecnológico"</w:t>
      </w:r>
      <w:r>
        <w:rPr>
          <w:rFonts w:ascii="Times New Roman" w:eastAsia="Times New Roman" w:hAnsi="Times New Roman" w:cs="Times New Roman"/>
          <w:sz w:val="22"/>
          <w:szCs w:val="22"/>
          <w:vertAlign w:val="superscript"/>
        </w:rPr>
        <w:footnoteReference w:id="69"/>
      </w:r>
      <w:r>
        <w:rPr>
          <w:rFonts w:ascii="Times New Roman" w:eastAsia="Times New Roman" w:hAnsi="Times New Roman" w:cs="Times New Roman"/>
          <w:sz w:val="22"/>
          <w:szCs w:val="22"/>
        </w:rPr>
        <w:t xml:space="preserve"> destaca cómo las startups que trabajan con inteligenc</w:t>
      </w:r>
      <w:r>
        <w:rPr>
          <w:rFonts w:ascii="Times New Roman" w:eastAsia="Times New Roman" w:hAnsi="Times New Roman" w:cs="Times New Roman"/>
          <w:sz w:val="22"/>
          <w:szCs w:val="22"/>
        </w:rPr>
        <w:t xml:space="preserve">ia artificial (IA) están revolucionando diversos sectores a través de tecnologías avanzadas. Estas empresas emergentes aprovechan la IA para optimizar procesos, mejorar la toma de decisiones y personalizar la experiencia de usuario en áreas como la salud, </w:t>
      </w:r>
      <w:r>
        <w:rPr>
          <w:rFonts w:ascii="Times New Roman" w:eastAsia="Times New Roman" w:hAnsi="Times New Roman" w:cs="Times New Roman"/>
          <w:sz w:val="22"/>
          <w:szCs w:val="22"/>
        </w:rPr>
        <w:t>la educación y el transporte. Una característica clave de estas startups es su capacidad de escalabilidad, lo que les permite crecer rápidamente en respuesta a las demandas del mercado, mientras utilizan tecnologías como el 5G y el Internet de las Cosas (I</w:t>
      </w:r>
      <w:r>
        <w:rPr>
          <w:rFonts w:ascii="Times New Roman" w:eastAsia="Times New Roman" w:hAnsi="Times New Roman" w:cs="Times New Roman"/>
          <w:sz w:val="22"/>
          <w:szCs w:val="22"/>
        </w:rPr>
        <w:t>oT) para mejorar la conectividad y el flujo de datos en tiempo real.</w:t>
      </w:r>
    </w:p>
    <w:p w14:paraId="1CE638AE"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Además, el artículo señala que estas startups están redefiniendo el panorama empresarial al introducir innovaciones que aumentan la eficiencia operativa y ofrecen soluciones a problemas c</w:t>
      </w:r>
      <w:r>
        <w:rPr>
          <w:rFonts w:ascii="Times New Roman" w:eastAsia="Times New Roman" w:hAnsi="Times New Roman" w:cs="Times New Roman"/>
          <w:sz w:val="22"/>
          <w:szCs w:val="22"/>
        </w:rPr>
        <w:t>omplejos. Este enfoque les ha permitido no solo competir en un mercado global, sino también abrir nuevas oportunidades de negocio en sectores como el análisis de datos, la automatización y el machine learning. En un entorno cada vez más digital, las startu</w:t>
      </w:r>
      <w:r>
        <w:rPr>
          <w:rFonts w:ascii="Times New Roman" w:eastAsia="Times New Roman" w:hAnsi="Times New Roman" w:cs="Times New Roman"/>
          <w:sz w:val="22"/>
          <w:szCs w:val="22"/>
        </w:rPr>
        <w:t>ps de IA se han convertido en agentes clave de cambio, impactando significativamente en la competitividad y sostenibilidad de diversas industrias (Martínez López, 2024)</w:t>
      </w:r>
      <w:r>
        <w:rPr>
          <w:rFonts w:ascii="Times New Roman" w:eastAsia="Times New Roman" w:hAnsi="Times New Roman" w:cs="Times New Roman"/>
          <w:sz w:val="22"/>
          <w:szCs w:val="22"/>
          <w:vertAlign w:val="superscript"/>
        </w:rPr>
        <w:footnoteReference w:id="70"/>
      </w:r>
      <w:r>
        <w:rPr>
          <w:rFonts w:ascii="Times New Roman" w:eastAsia="Times New Roman" w:hAnsi="Times New Roman" w:cs="Times New Roman"/>
          <w:sz w:val="22"/>
          <w:szCs w:val="22"/>
        </w:rPr>
        <w:t>.</w:t>
      </w:r>
    </w:p>
    <w:p w14:paraId="1CE638AF" w14:textId="77777777" w:rsidR="004D0443" w:rsidRDefault="00DA3067">
      <w:pPr>
        <w:spacing w:before="240" w:after="240" w:line="276"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2.9.1. Brechas de financiamiento para el crecimiento de startups:</w:t>
      </w:r>
    </w:p>
    <w:p w14:paraId="1CE638B0"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Al explorar el ambi</w:t>
      </w:r>
      <w:r>
        <w:rPr>
          <w:rFonts w:ascii="Times New Roman" w:eastAsia="Times New Roman" w:hAnsi="Times New Roman" w:cs="Times New Roman"/>
          <w:sz w:val="22"/>
          <w:szCs w:val="22"/>
        </w:rPr>
        <w:t>ente de financiamiento en Silicon Valley y Londres, podemos identificar características distintivas que diferencian a estos centros globales de otros ecosistemas emergentes como Bogotá. En Silicon Valley, la disponibilidad y diversidad de capital son excep</w:t>
      </w:r>
      <w:r>
        <w:rPr>
          <w:rFonts w:ascii="Times New Roman" w:eastAsia="Times New Roman" w:hAnsi="Times New Roman" w:cs="Times New Roman"/>
          <w:sz w:val="22"/>
          <w:szCs w:val="22"/>
        </w:rPr>
        <w:t>cionales. Según un informe reciente, el capital de riesgo en Silicon Valley alcanzó su punto más alto, con un capital de mercado agregado de $14.3 trillones en febrero de 2024, evidenciando una robusta confianza y capacidad de inversión en la región (Joint</w:t>
      </w:r>
      <w:r>
        <w:rPr>
          <w:rFonts w:ascii="Times New Roman" w:eastAsia="Times New Roman" w:hAnsi="Times New Roman" w:cs="Times New Roman"/>
          <w:sz w:val="22"/>
          <w:szCs w:val="22"/>
        </w:rPr>
        <w:t xml:space="preserve"> Venture Silicon Valley, 2024)</w:t>
      </w:r>
      <w:r>
        <w:rPr>
          <w:rFonts w:ascii="Times New Roman" w:eastAsia="Times New Roman" w:hAnsi="Times New Roman" w:cs="Times New Roman"/>
          <w:sz w:val="22"/>
          <w:szCs w:val="22"/>
          <w:vertAlign w:val="superscript"/>
        </w:rPr>
        <w:footnoteReference w:id="71"/>
      </w:r>
      <w:r>
        <w:rPr>
          <w:rFonts w:ascii="Times New Roman" w:eastAsia="Times New Roman" w:hAnsi="Times New Roman" w:cs="Times New Roman"/>
          <w:sz w:val="22"/>
          <w:szCs w:val="22"/>
        </w:rPr>
        <w:t>.</w:t>
      </w:r>
    </w:p>
    <w:p w14:paraId="1CE638B1" w14:textId="77777777" w:rsidR="004D0443" w:rsidRDefault="00DA3067">
      <w:pPr>
        <w:spacing w:before="240" w:after="240"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noProof/>
          <w:sz w:val="22"/>
          <w:szCs w:val="22"/>
          <w:lang w:val="es-CO"/>
        </w:rPr>
        <w:lastRenderedPageBreak/>
        <w:drawing>
          <wp:inline distT="114300" distB="114300" distL="114300" distR="114300" wp14:anchorId="1CE63A11" wp14:editId="1CE63A12">
            <wp:extent cx="4192088" cy="3238370"/>
            <wp:effectExtent l="0" t="0" r="0" b="0"/>
            <wp:docPr id="14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0"/>
                    <a:srcRect/>
                    <a:stretch>
                      <a:fillRect/>
                    </a:stretch>
                  </pic:blipFill>
                  <pic:spPr>
                    <a:xfrm>
                      <a:off x="0" y="0"/>
                      <a:ext cx="4192088" cy="3238370"/>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2"/>
          <w:szCs w:val="22"/>
        </w:rPr>
        <w:t xml:space="preserve">Imagen 11: </w:t>
      </w:r>
      <w:r>
        <w:rPr>
          <w:rFonts w:ascii="Times New Roman" w:eastAsia="Times New Roman" w:hAnsi="Times New Roman" w:cs="Times New Roman"/>
          <w:sz w:val="22"/>
          <w:szCs w:val="22"/>
        </w:rPr>
        <w:t>Capital de Riesgo en Silicon Valley y San Francisco.</w:t>
      </w:r>
      <w:r>
        <w:rPr>
          <w:rFonts w:ascii="Times New Roman" w:eastAsia="Times New Roman" w:hAnsi="Times New Roman" w:cs="Times New Roman"/>
          <w:sz w:val="22"/>
          <w:szCs w:val="22"/>
        </w:rPr>
        <w:br/>
      </w:r>
      <w:r>
        <w:rPr>
          <w:rFonts w:ascii="Times New Roman" w:eastAsia="Times New Roman" w:hAnsi="Times New Roman" w:cs="Times New Roman"/>
          <w:b/>
          <w:sz w:val="22"/>
          <w:szCs w:val="22"/>
        </w:rPr>
        <w:t xml:space="preserve">Fuente: </w:t>
      </w:r>
      <w:r>
        <w:rPr>
          <w:rFonts w:ascii="Times New Roman" w:eastAsia="Times New Roman" w:hAnsi="Times New Roman" w:cs="Times New Roman"/>
          <w:sz w:val="22"/>
          <w:szCs w:val="22"/>
        </w:rPr>
        <w:t>Joint Venture, 2024</w:t>
      </w:r>
      <w:r>
        <w:rPr>
          <w:rFonts w:ascii="Times New Roman" w:eastAsia="Times New Roman" w:hAnsi="Times New Roman" w:cs="Times New Roman"/>
          <w:sz w:val="22"/>
          <w:szCs w:val="22"/>
          <w:vertAlign w:val="superscript"/>
        </w:rPr>
        <w:footnoteReference w:id="72"/>
      </w:r>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 xml:space="preserve"> </w:t>
      </w:r>
    </w:p>
    <w:p w14:paraId="1CE638B2"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Según la gráfica 3, en 2023 la inversión total de capital de riesgo en Silicon Valley y San Francisco alcanzó los $30.5 mil m</w:t>
      </w:r>
      <w:r>
        <w:rPr>
          <w:rFonts w:ascii="Times New Roman" w:eastAsia="Times New Roman" w:hAnsi="Times New Roman" w:cs="Times New Roman"/>
          <w:sz w:val="22"/>
          <w:szCs w:val="22"/>
        </w:rPr>
        <w:t>illones, lo que representa un descenso por segundo año consecutivo desde un récord de casi $92 mil millones en 2021, ajustado por inflación. Este declive subraya una posible saturación del mercado o una reevaluación del riesgo por parte de los inversores a</w:t>
      </w:r>
      <w:r>
        <w:rPr>
          <w:rFonts w:ascii="Times New Roman" w:eastAsia="Times New Roman" w:hAnsi="Times New Roman" w:cs="Times New Roman"/>
          <w:sz w:val="22"/>
          <w:szCs w:val="22"/>
        </w:rPr>
        <w:t>nte condiciones económicas cambiantes. Específicamente, mientras que la inversión total en empresas de Silicon Valley disminuyó un 22% en comparación anual, la inversión en empresas del condado de San Mateo (parte de la región de Silicon Valley) aumentó un</w:t>
      </w:r>
      <w:r>
        <w:rPr>
          <w:rFonts w:ascii="Times New Roman" w:eastAsia="Times New Roman" w:hAnsi="Times New Roman" w:cs="Times New Roman"/>
          <w:sz w:val="22"/>
          <w:szCs w:val="22"/>
        </w:rPr>
        <w:t xml:space="preserve"> 12%, de $9.99 mil millones en 2022 a $11.17 mil millones en 2023, destacando dinámicas locales particulares dentro del mismo ecosistema.</w:t>
      </w:r>
    </w:p>
    <w:p w14:paraId="1CE638B3" w14:textId="77777777" w:rsidR="004D0443" w:rsidRDefault="00DA3067">
      <w:pPr>
        <w:spacing w:before="240" w:after="240" w:line="276" w:lineRule="auto"/>
        <w:jc w:val="center"/>
        <w:rPr>
          <w:rFonts w:ascii="Times New Roman" w:eastAsia="Times New Roman" w:hAnsi="Times New Roman" w:cs="Times New Roman"/>
          <w:b/>
          <w:sz w:val="20"/>
          <w:szCs w:val="20"/>
        </w:rPr>
      </w:pPr>
      <w:r>
        <w:rPr>
          <w:rFonts w:ascii="Times New Roman" w:eastAsia="Times New Roman" w:hAnsi="Times New Roman" w:cs="Times New Roman"/>
          <w:noProof/>
          <w:sz w:val="22"/>
          <w:szCs w:val="22"/>
          <w:lang w:val="es-CO"/>
        </w:rPr>
        <w:lastRenderedPageBreak/>
        <w:drawing>
          <wp:inline distT="114300" distB="114300" distL="114300" distR="114300" wp14:anchorId="1CE63A13" wp14:editId="1CE63A14">
            <wp:extent cx="5612400" cy="4216400"/>
            <wp:effectExtent l="0" t="0" r="0" b="0"/>
            <wp:docPr id="14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1"/>
                    <a:srcRect/>
                    <a:stretch>
                      <a:fillRect/>
                    </a:stretch>
                  </pic:blipFill>
                  <pic:spPr>
                    <a:xfrm>
                      <a:off x="0" y="0"/>
                      <a:ext cx="5612400" cy="4216400"/>
                    </a:xfrm>
                    <a:prstGeom prst="rect">
                      <a:avLst/>
                    </a:prstGeom>
                    <a:ln/>
                  </pic:spPr>
                </pic:pic>
              </a:graphicData>
            </a:graphic>
          </wp:inline>
        </w:drawing>
      </w:r>
      <w:r>
        <w:rPr>
          <w:rFonts w:ascii="Times New Roman" w:eastAsia="Times New Roman" w:hAnsi="Times New Roman" w:cs="Times New Roman"/>
          <w:sz w:val="22"/>
          <w:szCs w:val="22"/>
        </w:rPr>
        <w:br/>
      </w:r>
      <w:r>
        <w:rPr>
          <w:rFonts w:ascii="Times New Roman" w:eastAsia="Times New Roman" w:hAnsi="Times New Roman" w:cs="Times New Roman"/>
          <w:b/>
          <w:sz w:val="20"/>
          <w:szCs w:val="20"/>
        </w:rPr>
        <w:t xml:space="preserve">Imagen 12: </w:t>
      </w:r>
      <w:r>
        <w:rPr>
          <w:rFonts w:ascii="Times New Roman" w:eastAsia="Times New Roman" w:hAnsi="Times New Roman" w:cs="Times New Roman"/>
          <w:sz w:val="20"/>
          <w:szCs w:val="20"/>
        </w:rPr>
        <w:t>Unicornios y Decacornios.</w:t>
      </w:r>
      <w:r>
        <w:rPr>
          <w:rFonts w:ascii="Times New Roman" w:eastAsia="Times New Roman" w:hAnsi="Times New Roman" w:cs="Times New Roman"/>
          <w:b/>
          <w:sz w:val="20"/>
          <w:szCs w:val="20"/>
        </w:rPr>
        <w:br/>
        <w:t xml:space="preserve">Fuente: </w:t>
      </w:r>
      <w:r>
        <w:rPr>
          <w:rFonts w:ascii="Times New Roman" w:eastAsia="Times New Roman" w:hAnsi="Times New Roman" w:cs="Times New Roman"/>
          <w:sz w:val="20"/>
          <w:szCs w:val="20"/>
        </w:rPr>
        <w:t>Joint Venture, 2024</w:t>
      </w:r>
      <w:r>
        <w:rPr>
          <w:rFonts w:ascii="Times New Roman" w:eastAsia="Times New Roman" w:hAnsi="Times New Roman" w:cs="Times New Roman"/>
          <w:sz w:val="20"/>
          <w:szCs w:val="20"/>
          <w:vertAlign w:val="superscript"/>
        </w:rPr>
        <w:footnoteReference w:id="73"/>
      </w:r>
      <w:r>
        <w:rPr>
          <w:rFonts w:ascii="Times New Roman" w:eastAsia="Times New Roman" w:hAnsi="Times New Roman" w:cs="Times New Roman"/>
          <w:sz w:val="20"/>
          <w:szCs w:val="20"/>
        </w:rPr>
        <w:t xml:space="preserve">. </w:t>
      </w:r>
      <w:r>
        <w:rPr>
          <w:rFonts w:ascii="Times New Roman" w:eastAsia="Times New Roman" w:hAnsi="Times New Roman" w:cs="Times New Roman"/>
          <w:b/>
          <w:sz w:val="20"/>
          <w:szCs w:val="20"/>
        </w:rPr>
        <w:t xml:space="preserve"> </w:t>
      </w:r>
    </w:p>
    <w:p w14:paraId="1CE638B4"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Gráfica 4 demuestra la importancia de cómo una región mueve toda una economía y es relevante para el contexto de las startups, pues las compañías Unicornio entre 2020 y 2023 han mostrado un crecimiento constante globalmente. En 2020, había 270 unicornio</w:t>
      </w:r>
      <w:r>
        <w:rPr>
          <w:rFonts w:ascii="Times New Roman" w:eastAsia="Times New Roman" w:hAnsi="Times New Roman" w:cs="Times New Roman"/>
          <w:sz w:val="22"/>
          <w:szCs w:val="22"/>
        </w:rPr>
        <w:t>s, aumentando a 577 en 2023. La participación de Silicon Valley y San Francisco ha decrecido en términos relativos, sugiriendo un aumento más rápido en otras regiones del mundo y del resto de los EE. UU. Esto puede indicar una diversificación geográfica de</w:t>
      </w:r>
      <w:r>
        <w:rPr>
          <w:rFonts w:ascii="Times New Roman" w:eastAsia="Times New Roman" w:hAnsi="Times New Roman" w:cs="Times New Roman"/>
          <w:sz w:val="22"/>
          <w:szCs w:val="22"/>
        </w:rPr>
        <w:t xml:space="preserve"> empresas innovadoras y altamente valoradas. </w:t>
      </w:r>
    </w:p>
    <w:p w14:paraId="1CE638B5"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Por su parte,  los decacornios han aumentado de 19 en 2020 a 21 en 2023. Silicon Valley muestra un crecimiento destacado en esta categoría, pasando de 4 decacornios en 2020 a 21 en 2023, lo que indica que aunque hay más unicornios emergiendo globalmente, l</w:t>
      </w:r>
      <w:r>
        <w:rPr>
          <w:rFonts w:ascii="Times New Roman" w:eastAsia="Times New Roman" w:hAnsi="Times New Roman" w:cs="Times New Roman"/>
          <w:sz w:val="22"/>
          <w:szCs w:val="22"/>
        </w:rPr>
        <w:t>as empresas de alto valor siguen concentrándose en Silicon Valley. Esto refleja que, aunque hay una expansión geográfica de startups de alto valor, Silicon Valley sigue siendo un eje crítico para el desarrollo de empresas de escala masiva.</w:t>
      </w:r>
    </w:p>
    <w:p w14:paraId="1CE638B6"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Londres se desta</w:t>
      </w:r>
      <w:r>
        <w:rPr>
          <w:rFonts w:ascii="Times New Roman" w:eastAsia="Times New Roman" w:hAnsi="Times New Roman" w:cs="Times New Roman"/>
          <w:sz w:val="22"/>
          <w:szCs w:val="22"/>
        </w:rPr>
        <w:t>ca no solo por su capacidad para atraer inversiones significativas, sino también por su papel como líder en el desarrollo de startups tecnológicas. En el primer semestre de 2022, las empresas tecnológicas londinenses captaron un récord de $11.3 mil millone</w:t>
      </w:r>
      <w:r>
        <w:rPr>
          <w:rFonts w:ascii="Times New Roman" w:eastAsia="Times New Roman" w:hAnsi="Times New Roman" w:cs="Times New Roman"/>
          <w:sz w:val="22"/>
          <w:szCs w:val="22"/>
        </w:rPr>
        <w:t>s en financiación de capital de riesgo, superando el total recaudado en los primeros seis meses de 2021 y marcando un hito en la historia de inversiones en la ciudad (London &amp; Partners, 2022)</w:t>
      </w:r>
      <w:r>
        <w:rPr>
          <w:rFonts w:ascii="Times New Roman" w:eastAsia="Times New Roman" w:hAnsi="Times New Roman" w:cs="Times New Roman"/>
          <w:sz w:val="22"/>
          <w:szCs w:val="22"/>
          <w:vertAlign w:val="superscript"/>
        </w:rPr>
        <w:footnoteReference w:id="74"/>
      </w:r>
      <w:r>
        <w:rPr>
          <w:rFonts w:ascii="Times New Roman" w:eastAsia="Times New Roman" w:hAnsi="Times New Roman" w:cs="Times New Roman"/>
          <w:sz w:val="22"/>
          <w:szCs w:val="22"/>
        </w:rPr>
        <w:t>. Esta notable afluencia de capital es un testimonio de la confi</w:t>
      </w:r>
      <w:r>
        <w:rPr>
          <w:rFonts w:ascii="Times New Roman" w:eastAsia="Times New Roman" w:hAnsi="Times New Roman" w:cs="Times New Roman"/>
          <w:sz w:val="22"/>
          <w:szCs w:val="22"/>
        </w:rPr>
        <w:t>anza que los inversores tienen en el ecosistema de startups de Londres, impulsada no solo por la cantidad de capital disponible sino también por la calidad y el potencial de crecimiento de las empresas emergentes en la región.</w:t>
      </w:r>
    </w:p>
    <w:p w14:paraId="1CE638B7"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El informe de Startup Genome </w:t>
      </w:r>
      <w:r>
        <w:rPr>
          <w:rFonts w:ascii="Times New Roman" w:eastAsia="Times New Roman" w:hAnsi="Times New Roman" w:cs="Times New Roman"/>
          <w:sz w:val="22"/>
          <w:szCs w:val="22"/>
        </w:rPr>
        <w:t>de 2022 también resalta la posición de Londres como el principal hub de Europa para startups, con un valor de ecosistema de $314 mil millones, significativamente superior a ciudades como Berlín y París (London &amp; Partners, 2022)</w:t>
      </w:r>
      <w:r>
        <w:rPr>
          <w:rFonts w:ascii="Times New Roman" w:eastAsia="Times New Roman" w:hAnsi="Times New Roman" w:cs="Times New Roman"/>
          <w:sz w:val="22"/>
          <w:szCs w:val="22"/>
          <w:vertAlign w:val="superscript"/>
        </w:rPr>
        <w:footnoteReference w:id="75"/>
      </w:r>
      <w:r>
        <w:rPr>
          <w:rFonts w:ascii="Times New Roman" w:eastAsia="Times New Roman" w:hAnsi="Times New Roman" w:cs="Times New Roman"/>
          <w:sz w:val="22"/>
          <w:szCs w:val="22"/>
        </w:rPr>
        <w:t>. Esto subraya la consolidac</w:t>
      </w:r>
      <w:r>
        <w:rPr>
          <w:rFonts w:ascii="Times New Roman" w:eastAsia="Times New Roman" w:hAnsi="Times New Roman" w:cs="Times New Roman"/>
          <w:sz w:val="22"/>
          <w:szCs w:val="22"/>
        </w:rPr>
        <w:t>ión de Londres no sólo como un centro de atracción de capital sino también como un líder en innovación y desarrollo empresarial a nivel global. Además, Londres ha demostrado ser un entorno especialmente propicio para sectores de alto crecimiento como Finte</w:t>
      </w:r>
      <w:r>
        <w:rPr>
          <w:rFonts w:ascii="Times New Roman" w:eastAsia="Times New Roman" w:hAnsi="Times New Roman" w:cs="Times New Roman"/>
          <w:sz w:val="22"/>
          <w:szCs w:val="22"/>
        </w:rPr>
        <w:t>ch, EdTech y Climate Tech, lo que refleja su capacidad para adaptarse y liderar en áreas de tecnología emergente.</w:t>
      </w:r>
    </w:p>
    <w:p w14:paraId="1CE638B8"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En términos de apoyo institucional, Londres ofrece condiciones óptimas para el desarrollo y la escalabilidad de startups, incluyendo acceso a </w:t>
      </w:r>
      <w:r>
        <w:rPr>
          <w:rFonts w:ascii="Times New Roman" w:eastAsia="Times New Roman" w:hAnsi="Times New Roman" w:cs="Times New Roman"/>
          <w:sz w:val="22"/>
          <w:szCs w:val="22"/>
        </w:rPr>
        <w:t>inversores, programas de aceleración y una comunidad de innovación bien conectada. Este entorno de apoyo robusto no solo facilita el acceso al capital sino que también proporciona recursos críticos para la expansión y el éxito internacional de las startups</w:t>
      </w:r>
      <w:r>
        <w:rPr>
          <w:rFonts w:ascii="Times New Roman" w:eastAsia="Times New Roman" w:hAnsi="Times New Roman" w:cs="Times New Roman"/>
          <w:sz w:val="22"/>
          <w:szCs w:val="22"/>
        </w:rPr>
        <w:t xml:space="preserve"> (London &amp; Partners, 2022). El alcalde de Londres, Sadiq Khan, y otros líderes empresariales han </w:t>
      </w:r>
      <w:r>
        <w:rPr>
          <w:rFonts w:ascii="Times New Roman" w:eastAsia="Times New Roman" w:hAnsi="Times New Roman" w:cs="Times New Roman"/>
          <w:sz w:val="22"/>
          <w:szCs w:val="22"/>
        </w:rPr>
        <w:lastRenderedPageBreak/>
        <w:t>reconocido y promovido activamente Londres como un centro global para la tecnología y la innovación, lo cual se refleja en el continuo crecimiento y la dinámic</w:t>
      </w:r>
      <w:r>
        <w:rPr>
          <w:rFonts w:ascii="Times New Roman" w:eastAsia="Times New Roman" w:hAnsi="Times New Roman" w:cs="Times New Roman"/>
          <w:sz w:val="22"/>
          <w:szCs w:val="22"/>
        </w:rPr>
        <w:t>a de su ecosistema de startups.</w:t>
      </w:r>
    </w:p>
    <w:p w14:paraId="1CE638B9"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contraste, Bogotá está desarrollando su infraestructura de financiación para alcanzar este nivel de apoyo y flexibilidad. Mientras que los ecosistemas en Silicon Valley y Londres tienen acceso a una amplia gama de opcione</w:t>
      </w:r>
      <w:r>
        <w:rPr>
          <w:rFonts w:ascii="Times New Roman" w:eastAsia="Times New Roman" w:hAnsi="Times New Roman" w:cs="Times New Roman"/>
          <w:sz w:val="22"/>
          <w:szCs w:val="22"/>
        </w:rPr>
        <w:t>s de financiación y un entorno de inversión maduro, Bogotá necesita fortalecer sus conexiones con inversores globales y expandir los mecanismos de apoyo gubernamental y privado para fomentar una cultura de inversión más robusta y menos adversa al riesgo. E</w:t>
      </w:r>
      <w:r>
        <w:rPr>
          <w:rFonts w:ascii="Times New Roman" w:eastAsia="Times New Roman" w:hAnsi="Times New Roman" w:cs="Times New Roman"/>
          <w:sz w:val="22"/>
          <w:szCs w:val="22"/>
        </w:rPr>
        <w:t xml:space="preserve">ste análisis subraya la importancia de adaptar y expandir las oportunidades de financiamiento en Bogotá para cerrar la brecha con ecosistemas más establecidos y asegurar que las startups locales tengan las herramientas necesarias para competir y prosperar </w:t>
      </w:r>
      <w:r>
        <w:rPr>
          <w:rFonts w:ascii="Times New Roman" w:eastAsia="Times New Roman" w:hAnsi="Times New Roman" w:cs="Times New Roman"/>
          <w:sz w:val="22"/>
          <w:szCs w:val="22"/>
        </w:rPr>
        <w:t>a nivel global.</w:t>
      </w:r>
    </w:p>
    <w:p w14:paraId="1CE638BA" w14:textId="77777777" w:rsidR="004D0443" w:rsidRDefault="00DA3067">
      <w:pPr>
        <w:spacing w:before="240" w:after="240"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 xml:space="preserve">2.9.2. Importancia y pertinencia para Bogotá de este Proyecto de Acuerdo </w:t>
      </w:r>
    </w:p>
    <w:p w14:paraId="1CE638BB"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primer lugar, y con base en toda la exposición de motivos construida anteriormente, se fundamenta en el papel crucial que las startups desempeñan en la economía gl</w:t>
      </w:r>
      <w:r>
        <w:rPr>
          <w:rFonts w:ascii="Times New Roman" w:eastAsia="Times New Roman" w:hAnsi="Times New Roman" w:cs="Times New Roman"/>
          <w:sz w:val="22"/>
          <w:szCs w:val="22"/>
        </w:rPr>
        <w:t>obal y local, especialmente como Bogotá se ha consolidado como un epicentro de impulso a startups. Hoy las herramientas como motores de innovación, disrupción tecnológica y generación de empleo son fundamentales para la consolidación de estas empresas emer</w:t>
      </w:r>
      <w:r>
        <w:rPr>
          <w:rFonts w:ascii="Times New Roman" w:eastAsia="Times New Roman" w:hAnsi="Times New Roman" w:cs="Times New Roman"/>
          <w:sz w:val="22"/>
          <w:szCs w:val="22"/>
        </w:rPr>
        <w:t>gentes. A nivel mundial, las startups han demostrado una capacidad única para transformar sectores tradicionales mediante la creación de productos y servicios disruptivos, especialmente en áreas como tecnología, fintech, healthtech y energytech. Estos sect</w:t>
      </w:r>
      <w:r>
        <w:rPr>
          <w:rFonts w:ascii="Times New Roman" w:eastAsia="Times New Roman" w:hAnsi="Times New Roman" w:cs="Times New Roman"/>
          <w:sz w:val="22"/>
          <w:szCs w:val="22"/>
        </w:rPr>
        <w:t>ores no solo son altamente innovadores, sino que también están alineados con las necesidades del mercado global contemporáneo, donde la eficiencia, la digitalización y la sostenibilidad son fundamentales para el crecimiento​.</w:t>
      </w:r>
    </w:p>
    <w:p w14:paraId="1CE638BC"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Bogotá el ecosistema de sta</w:t>
      </w:r>
      <w:r>
        <w:rPr>
          <w:rFonts w:ascii="Times New Roman" w:eastAsia="Times New Roman" w:hAnsi="Times New Roman" w:cs="Times New Roman"/>
          <w:sz w:val="22"/>
          <w:szCs w:val="22"/>
        </w:rPr>
        <w:t>rtups ha experimentado un crecimiento significativo, consolidando a la ciudad como un hub de innovación clave en América Latina, junto a centros como São Paulo y Ciudad de México. Bogotá concentra el 59% de las startups colombianas según lo expuesto anteri</w:t>
      </w:r>
      <w:r>
        <w:rPr>
          <w:rFonts w:ascii="Times New Roman" w:eastAsia="Times New Roman" w:hAnsi="Times New Roman" w:cs="Times New Roman"/>
          <w:sz w:val="22"/>
          <w:szCs w:val="22"/>
        </w:rPr>
        <w:t>ormente, lo que la convierte en el epicentro de este tipo de emprendimientos en el país. Esta concentración de actividad refleja tanto la vitalidad del sector como la urgencia de contar con un marco regulatorio y de apoyo que impulse aún más su desarrollo.</w:t>
      </w:r>
      <w:r>
        <w:rPr>
          <w:rFonts w:ascii="Times New Roman" w:eastAsia="Times New Roman" w:hAnsi="Times New Roman" w:cs="Times New Roman"/>
          <w:sz w:val="22"/>
          <w:szCs w:val="22"/>
        </w:rPr>
        <w:t xml:space="preserve"> El proyecto de acuerdo responde a esta necesidad, reconociendo el potencial de las startups para mejorar la competitividad de la ciudad, generar empleo, impulsar el crecimiento económico y fortalecer sectores estratégicos como fintech, proptech, y healtht</w:t>
      </w:r>
      <w:r>
        <w:rPr>
          <w:rFonts w:ascii="Times New Roman" w:eastAsia="Times New Roman" w:hAnsi="Times New Roman" w:cs="Times New Roman"/>
          <w:sz w:val="22"/>
          <w:szCs w:val="22"/>
        </w:rPr>
        <w:t>ech​.</w:t>
      </w:r>
    </w:p>
    <w:p w14:paraId="1CE638BD"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Además, uno de los principales retos que enfrentan las startups en Bogotá, como en muchas otras ciudades emergentes, es la falta de acceso a financiamiento adecuado y a redes de inversión. El </w:t>
      </w:r>
      <w:r>
        <w:rPr>
          <w:rFonts w:ascii="Times New Roman" w:eastAsia="Times New Roman" w:hAnsi="Times New Roman" w:cs="Times New Roman"/>
          <w:sz w:val="22"/>
          <w:szCs w:val="22"/>
        </w:rPr>
        <w:lastRenderedPageBreak/>
        <w:t>proyecto de acuerdo busca superar estas brechas estructura</w:t>
      </w:r>
      <w:r>
        <w:rPr>
          <w:rFonts w:ascii="Times New Roman" w:eastAsia="Times New Roman" w:hAnsi="Times New Roman" w:cs="Times New Roman"/>
          <w:sz w:val="22"/>
          <w:szCs w:val="22"/>
        </w:rPr>
        <w:t>les al promover incentivos, y fortalecer la infraestructura tecnológica necesaria para que las startups puedan crecer y consolidarse. En Silicon Valley, Londres o Nueva York, los ecosistemas de startups florecen porque están respaldados por un entorno dond</w:t>
      </w:r>
      <w:r>
        <w:rPr>
          <w:rFonts w:ascii="Times New Roman" w:eastAsia="Times New Roman" w:hAnsi="Times New Roman" w:cs="Times New Roman"/>
          <w:sz w:val="22"/>
          <w:szCs w:val="22"/>
        </w:rPr>
        <w:t>e la disponibilidad de capital de riesgo, las redes de mentores y la infraestructura tecnológica son robustas y accesibles. En contraste, Bogotá aún enfrenta desafíos para competir en igualdad de condiciones a nivel global​.</w:t>
      </w:r>
    </w:p>
    <w:p w14:paraId="1CE638BE"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propuesta de este proyecto d</w:t>
      </w:r>
      <w:r>
        <w:rPr>
          <w:rFonts w:ascii="Times New Roman" w:eastAsia="Times New Roman" w:hAnsi="Times New Roman" w:cs="Times New Roman"/>
          <w:sz w:val="22"/>
          <w:szCs w:val="22"/>
        </w:rPr>
        <w:t xml:space="preserve">e acuerdo, por lo tanto, no solo fomenta la creación, el crecimiento y la sostenibilidad de startups en la ciudad, sino que busca integrar a Bogotá en la economía del conocimiento y la innovación, una estrategia para impulsar el desarrollo económico de la </w:t>
      </w:r>
      <w:r>
        <w:rPr>
          <w:rFonts w:ascii="Times New Roman" w:eastAsia="Times New Roman" w:hAnsi="Times New Roman" w:cs="Times New Roman"/>
          <w:sz w:val="22"/>
          <w:szCs w:val="22"/>
        </w:rPr>
        <w:t>ciudad en el largo plazo. La creación de alianzas estratégicas entre el sector público, privado y la academia es uno de los pilares del proyecto, también, la estrategia para financiar a startups consolidadas o en proceso de consolidarse, lo que permitirá c</w:t>
      </w:r>
      <w:r>
        <w:rPr>
          <w:rFonts w:ascii="Times New Roman" w:eastAsia="Times New Roman" w:hAnsi="Times New Roman" w:cs="Times New Roman"/>
          <w:sz w:val="22"/>
          <w:szCs w:val="22"/>
        </w:rPr>
        <w:t>onectar a las startups con fuentes de financiamiento, redes internacionales y oportunidades de colaboración. Estas alianzas no solo potencian el crecimiento, sino que también facilitan la transferencia de tecnología y conocimiento, elementos esenciales par</w:t>
      </w:r>
      <w:r>
        <w:rPr>
          <w:rFonts w:ascii="Times New Roman" w:eastAsia="Times New Roman" w:hAnsi="Times New Roman" w:cs="Times New Roman"/>
          <w:sz w:val="22"/>
          <w:szCs w:val="22"/>
        </w:rPr>
        <w:t>a competir en un entorno global a la par de grandes ciudades de otros países​.</w:t>
      </w:r>
    </w:p>
    <w:p w14:paraId="1CE638BF"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Es importante destacar que, hasta la actualidad, el Congreso de la República de Colombia no ha expedido una ley específica para el fomento de las startups. Como tampoco el Conce</w:t>
      </w:r>
      <w:r>
        <w:rPr>
          <w:rFonts w:ascii="Times New Roman" w:eastAsia="Times New Roman" w:hAnsi="Times New Roman" w:cs="Times New Roman"/>
          <w:sz w:val="22"/>
          <w:szCs w:val="22"/>
        </w:rPr>
        <w:t>jo de Bogotá D.C. ha emitido un Acuerdo Distrital sobre la materia.</w:t>
      </w:r>
    </w:p>
    <w:p w14:paraId="1CE638C0" w14:textId="77777777" w:rsidR="004D0443" w:rsidRDefault="004D0443">
      <w:pPr>
        <w:spacing w:line="276" w:lineRule="auto"/>
        <w:jc w:val="both"/>
        <w:rPr>
          <w:rFonts w:ascii="Times New Roman" w:eastAsia="Times New Roman" w:hAnsi="Times New Roman" w:cs="Times New Roman"/>
          <w:sz w:val="22"/>
          <w:szCs w:val="22"/>
        </w:rPr>
      </w:pPr>
    </w:p>
    <w:p w14:paraId="1CE638C1" w14:textId="77777777" w:rsidR="004D0443" w:rsidRDefault="00DA3067">
      <w:pPr>
        <w:spacing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3. RELACIÓN DE LA INICIATIVA CON LOS OBJETIVOS DE DESARROLLO SOSTENIBLE (ODS)</w:t>
      </w:r>
    </w:p>
    <w:p w14:paraId="1CE638C2" w14:textId="77777777" w:rsidR="004D0443" w:rsidRDefault="004D0443">
      <w:pPr>
        <w:spacing w:line="276" w:lineRule="auto"/>
        <w:jc w:val="center"/>
        <w:rPr>
          <w:rFonts w:ascii="Times New Roman" w:eastAsia="Times New Roman" w:hAnsi="Times New Roman" w:cs="Times New Roman"/>
          <w:b/>
          <w:sz w:val="22"/>
          <w:szCs w:val="22"/>
        </w:rPr>
      </w:pPr>
    </w:p>
    <w:p w14:paraId="1CE638C3"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 continuación, se representa la relación que tiene la presente iniciativa con la consecución de los Objetiv</w:t>
      </w:r>
      <w:r>
        <w:rPr>
          <w:rFonts w:ascii="Times New Roman" w:eastAsia="Times New Roman" w:hAnsi="Times New Roman" w:cs="Times New Roman"/>
          <w:sz w:val="22"/>
          <w:szCs w:val="22"/>
        </w:rPr>
        <w:t>os de Desarrollo Sostenible (ODS) para el año 2030:</w:t>
      </w:r>
    </w:p>
    <w:tbl>
      <w:tblPr>
        <w:tblStyle w:val="aff0"/>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946"/>
        <w:gridCol w:w="2946"/>
        <w:gridCol w:w="2946"/>
      </w:tblGrid>
      <w:tr w:rsidR="004D0443" w14:paraId="1CE638C7" w14:textId="77777777">
        <w:trPr>
          <w:trHeight w:val="315"/>
        </w:trPr>
        <w:tc>
          <w:tcPr>
            <w:tcW w:w="2946" w:type="dxa"/>
            <w:tcBorders>
              <w:top w:val="single" w:sz="6" w:space="0" w:color="000000"/>
              <w:left w:val="single" w:sz="6" w:space="0" w:color="000000"/>
              <w:bottom w:val="single" w:sz="6" w:space="0" w:color="000000"/>
              <w:right w:val="single" w:sz="6" w:space="0" w:color="000000"/>
            </w:tcBorders>
            <w:shd w:val="clear" w:color="auto" w:fill="D9EAD3"/>
            <w:tcMar>
              <w:top w:w="40" w:type="dxa"/>
              <w:left w:w="40" w:type="dxa"/>
              <w:bottom w:w="40" w:type="dxa"/>
              <w:right w:w="40" w:type="dxa"/>
            </w:tcMar>
            <w:vAlign w:val="center"/>
          </w:tcPr>
          <w:p w14:paraId="1CE638C4" w14:textId="77777777" w:rsidR="004D0443" w:rsidRDefault="00DA3067">
            <w:pPr>
              <w:widowControl w:val="0"/>
              <w:spacing w:line="276" w:lineRule="auto"/>
              <w:jc w:val="center"/>
              <w:rPr>
                <w:sz w:val="20"/>
                <w:szCs w:val="20"/>
              </w:rPr>
            </w:pPr>
            <w:r>
              <w:rPr>
                <w:rFonts w:ascii="Times New Roman" w:eastAsia="Times New Roman" w:hAnsi="Times New Roman" w:cs="Times New Roman"/>
                <w:b/>
                <w:sz w:val="20"/>
                <w:szCs w:val="20"/>
              </w:rPr>
              <w:t>Objetivo de Desarrollo Sostenible (ODS)</w:t>
            </w:r>
          </w:p>
        </w:tc>
        <w:tc>
          <w:tcPr>
            <w:tcW w:w="2946" w:type="dxa"/>
            <w:tcBorders>
              <w:top w:val="single" w:sz="6" w:space="0" w:color="000000"/>
              <w:left w:val="single" w:sz="6" w:space="0" w:color="CCCCCC"/>
              <w:bottom w:val="single" w:sz="6" w:space="0" w:color="000000"/>
              <w:right w:val="single" w:sz="6" w:space="0" w:color="000000"/>
            </w:tcBorders>
            <w:shd w:val="clear" w:color="auto" w:fill="D9EAD3"/>
            <w:tcMar>
              <w:top w:w="40" w:type="dxa"/>
              <w:left w:w="40" w:type="dxa"/>
              <w:bottom w:w="40" w:type="dxa"/>
              <w:right w:w="40" w:type="dxa"/>
            </w:tcMar>
            <w:vAlign w:val="center"/>
          </w:tcPr>
          <w:p w14:paraId="1CE638C5" w14:textId="77777777" w:rsidR="004D0443" w:rsidRDefault="00DA3067">
            <w:pPr>
              <w:widowControl w:val="0"/>
              <w:spacing w:line="276" w:lineRule="auto"/>
              <w:jc w:val="center"/>
              <w:rPr>
                <w:sz w:val="20"/>
                <w:szCs w:val="20"/>
              </w:rPr>
            </w:pPr>
            <w:r>
              <w:rPr>
                <w:rFonts w:ascii="Times New Roman" w:eastAsia="Times New Roman" w:hAnsi="Times New Roman" w:cs="Times New Roman"/>
                <w:b/>
                <w:sz w:val="20"/>
                <w:szCs w:val="20"/>
              </w:rPr>
              <w:t>Meta Específica del ODS</w:t>
            </w:r>
          </w:p>
        </w:tc>
        <w:tc>
          <w:tcPr>
            <w:tcW w:w="2946" w:type="dxa"/>
            <w:tcBorders>
              <w:top w:val="single" w:sz="6" w:space="0" w:color="000000"/>
              <w:left w:val="single" w:sz="6" w:space="0" w:color="CCCCCC"/>
              <w:bottom w:val="single" w:sz="6" w:space="0" w:color="000000"/>
              <w:right w:val="single" w:sz="6" w:space="0" w:color="000000"/>
            </w:tcBorders>
            <w:shd w:val="clear" w:color="auto" w:fill="D9EAD3"/>
            <w:tcMar>
              <w:top w:w="40" w:type="dxa"/>
              <w:left w:w="40" w:type="dxa"/>
              <w:bottom w:w="40" w:type="dxa"/>
              <w:right w:w="40" w:type="dxa"/>
            </w:tcMar>
            <w:vAlign w:val="center"/>
          </w:tcPr>
          <w:p w14:paraId="1CE638C6" w14:textId="77777777" w:rsidR="004D0443" w:rsidRDefault="00DA3067">
            <w:pPr>
              <w:widowControl w:val="0"/>
              <w:spacing w:line="276" w:lineRule="auto"/>
              <w:jc w:val="center"/>
              <w:rPr>
                <w:sz w:val="20"/>
                <w:szCs w:val="20"/>
              </w:rPr>
            </w:pPr>
            <w:r>
              <w:rPr>
                <w:rFonts w:ascii="Times New Roman" w:eastAsia="Times New Roman" w:hAnsi="Times New Roman" w:cs="Times New Roman"/>
                <w:b/>
                <w:sz w:val="20"/>
                <w:szCs w:val="20"/>
              </w:rPr>
              <w:t>Relación con el Proyecto de Acuerdo</w:t>
            </w:r>
          </w:p>
        </w:tc>
      </w:tr>
      <w:tr w:rsidR="004D0443" w14:paraId="1CE638CB" w14:textId="77777777">
        <w:trPr>
          <w:trHeight w:val="1995"/>
        </w:trPr>
        <w:tc>
          <w:tcPr>
            <w:tcW w:w="2946" w:type="dxa"/>
            <w:tcBorders>
              <w:top w:val="single" w:sz="6" w:space="0" w:color="CCCCCC"/>
              <w:left w:val="single" w:sz="6" w:space="0" w:color="000000"/>
              <w:bottom w:val="single" w:sz="6" w:space="0" w:color="000000"/>
              <w:right w:val="single" w:sz="6" w:space="0" w:color="000000"/>
            </w:tcBorders>
            <w:shd w:val="clear" w:color="auto" w:fill="F3F3F3"/>
            <w:tcMar>
              <w:top w:w="40" w:type="dxa"/>
              <w:left w:w="40" w:type="dxa"/>
              <w:bottom w:w="40" w:type="dxa"/>
              <w:right w:w="40" w:type="dxa"/>
            </w:tcMar>
            <w:vAlign w:val="center"/>
          </w:tcPr>
          <w:p w14:paraId="1CE638C8"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lastRenderedPageBreak/>
              <w:t>ODS 8: Trabajo decente y crecimiento económico</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C9"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8.3</w:t>
            </w:r>
            <w:r>
              <w:rPr>
                <w:rFonts w:ascii="Times New Roman" w:eastAsia="Times New Roman" w:hAnsi="Times New Roman" w:cs="Times New Roman"/>
                <w:sz w:val="20"/>
                <w:szCs w:val="20"/>
                <w:vertAlign w:val="superscript"/>
              </w:rPr>
              <w:footnoteReference w:id="76"/>
            </w:r>
            <w:r>
              <w:rPr>
                <w:rFonts w:ascii="Times New Roman" w:eastAsia="Times New Roman" w:hAnsi="Times New Roman" w:cs="Times New Roman"/>
                <w:sz w:val="20"/>
                <w:szCs w:val="20"/>
              </w:rPr>
              <w:t xml:space="preserve">: Promover políticas orientadas al desarrollo que apoyen las actividades productivas, la creación de empleo decente, el emprendimiento, la creatividad y la innovación, y fomenten la formalización y el crecimiento de las microempresas y pequeñas y medianas </w:t>
            </w:r>
            <w:r>
              <w:rPr>
                <w:rFonts w:ascii="Times New Roman" w:eastAsia="Times New Roman" w:hAnsi="Times New Roman" w:cs="Times New Roman"/>
                <w:sz w:val="20"/>
                <w:szCs w:val="20"/>
              </w:rPr>
              <w:t>empresas, incluidos mediante el acceso a servicios financieros.</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CA"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Las disposiciones del proyecto buscan fortalecer el ecosistema emprendedor en Bogotá mediante el apoyo a startups, incluyendo el acceso a financiamiento y asesoramiento, promoviendo así el emp</w:t>
            </w:r>
            <w:r>
              <w:rPr>
                <w:rFonts w:ascii="Times New Roman" w:eastAsia="Times New Roman" w:hAnsi="Times New Roman" w:cs="Times New Roman"/>
                <w:sz w:val="20"/>
                <w:szCs w:val="20"/>
              </w:rPr>
              <w:t>leo y el emprendimiento en sectores innovadores.</w:t>
            </w:r>
          </w:p>
        </w:tc>
      </w:tr>
      <w:tr w:rsidR="004D0443" w14:paraId="1CE638CF" w14:textId="77777777">
        <w:trPr>
          <w:trHeight w:val="1515"/>
        </w:trPr>
        <w:tc>
          <w:tcPr>
            <w:tcW w:w="2946" w:type="dxa"/>
            <w:tcBorders>
              <w:top w:val="single" w:sz="6" w:space="0" w:color="CCCCCC"/>
              <w:left w:val="single" w:sz="6" w:space="0" w:color="000000"/>
              <w:bottom w:val="single" w:sz="6" w:space="0" w:color="000000"/>
              <w:right w:val="single" w:sz="6" w:space="0" w:color="000000"/>
            </w:tcBorders>
            <w:shd w:val="clear" w:color="auto" w:fill="F3F3F3"/>
            <w:tcMar>
              <w:top w:w="40" w:type="dxa"/>
              <w:left w:w="40" w:type="dxa"/>
              <w:bottom w:w="40" w:type="dxa"/>
              <w:right w:w="40" w:type="dxa"/>
            </w:tcMar>
            <w:vAlign w:val="center"/>
          </w:tcPr>
          <w:p w14:paraId="1CE638CC"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ODS 9: Industria, innovación e infraestructura</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CD"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9.3</w:t>
            </w:r>
            <w:r>
              <w:rPr>
                <w:rFonts w:ascii="Times New Roman" w:eastAsia="Times New Roman" w:hAnsi="Times New Roman" w:cs="Times New Roman"/>
                <w:sz w:val="20"/>
                <w:szCs w:val="20"/>
                <w:vertAlign w:val="superscript"/>
              </w:rPr>
              <w:footnoteReference w:id="77"/>
            </w:r>
            <w:r>
              <w:rPr>
                <w:rFonts w:ascii="Times New Roman" w:eastAsia="Times New Roman" w:hAnsi="Times New Roman" w:cs="Times New Roman"/>
                <w:sz w:val="20"/>
                <w:szCs w:val="20"/>
              </w:rPr>
              <w:t>: Aumentar el acceso de las pequeñas industrias y otras empresas, particularmente en países en desarrollo, a servicios financieros, incluidos créditos asequibles, y su integración en las cadenas de valor y mercados.</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CE"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El proyecto facilita el acceso a recurso</w:t>
            </w:r>
            <w:r>
              <w:rPr>
                <w:rFonts w:ascii="Times New Roman" w:eastAsia="Times New Roman" w:hAnsi="Times New Roman" w:cs="Times New Roman"/>
                <w:sz w:val="20"/>
                <w:szCs w:val="20"/>
              </w:rPr>
              <w:t>s financieros y asesoría especializada para startups, integrándolas efectivamente en la cadena de valor local e internacional, lo que potencia su crecimiento y sostenibilidad.</w:t>
            </w:r>
          </w:p>
        </w:tc>
      </w:tr>
      <w:tr w:rsidR="004D0443" w14:paraId="1CE638D3" w14:textId="77777777">
        <w:trPr>
          <w:trHeight w:val="1275"/>
        </w:trPr>
        <w:tc>
          <w:tcPr>
            <w:tcW w:w="2946" w:type="dxa"/>
            <w:tcBorders>
              <w:top w:val="single" w:sz="6" w:space="0" w:color="CCCCCC"/>
              <w:left w:val="single" w:sz="6" w:space="0" w:color="000000"/>
              <w:bottom w:val="single" w:sz="6" w:space="0" w:color="000000"/>
              <w:right w:val="single" w:sz="6" w:space="0" w:color="000000"/>
            </w:tcBorders>
            <w:shd w:val="clear" w:color="auto" w:fill="F3F3F3"/>
            <w:tcMar>
              <w:top w:w="40" w:type="dxa"/>
              <w:left w:w="40" w:type="dxa"/>
              <w:bottom w:w="40" w:type="dxa"/>
              <w:right w:w="40" w:type="dxa"/>
            </w:tcMar>
            <w:vAlign w:val="center"/>
          </w:tcPr>
          <w:p w14:paraId="1CE638D0"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ODS 11: Ciudades y comunidades sostenibles</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D1"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11.3</w:t>
            </w:r>
            <w:r>
              <w:rPr>
                <w:rFonts w:ascii="Times New Roman" w:eastAsia="Times New Roman" w:hAnsi="Times New Roman" w:cs="Times New Roman"/>
                <w:sz w:val="20"/>
                <w:szCs w:val="20"/>
                <w:vertAlign w:val="superscript"/>
              </w:rPr>
              <w:footnoteReference w:id="78"/>
            </w:r>
            <w:r>
              <w:rPr>
                <w:rFonts w:ascii="Times New Roman" w:eastAsia="Times New Roman" w:hAnsi="Times New Roman" w:cs="Times New Roman"/>
                <w:sz w:val="20"/>
                <w:szCs w:val="20"/>
              </w:rPr>
              <w:t>: Mejorar la inclusión urbana y la capacidad para la planificación y gestión participativa, integrada y sostenible de los asentamientos humanos en todos los países.</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D2"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A través del desarrollo y consolidación de startups, especialmente en sectores como PropTec</w:t>
            </w:r>
            <w:r>
              <w:rPr>
                <w:rFonts w:ascii="Times New Roman" w:eastAsia="Times New Roman" w:hAnsi="Times New Roman" w:cs="Times New Roman"/>
                <w:sz w:val="20"/>
                <w:szCs w:val="20"/>
              </w:rPr>
              <w:t>h y EnergyTech, se contribuye a la creación de soluciones innovadoras para una gestión urbana sostenible y participativa.</w:t>
            </w:r>
          </w:p>
        </w:tc>
      </w:tr>
      <w:tr w:rsidR="004D0443" w14:paraId="1CE638D7" w14:textId="77777777">
        <w:trPr>
          <w:trHeight w:val="1995"/>
        </w:trPr>
        <w:tc>
          <w:tcPr>
            <w:tcW w:w="2946" w:type="dxa"/>
            <w:tcBorders>
              <w:top w:val="single" w:sz="6" w:space="0" w:color="CCCCCC"/>
              <w:left w:val="single" w:sz="6" w:space="0" w:color="000000"/>
              <w:bottom w:val="single" w:sz="6" w:space="0" w:color="000000"/>
              <w:right w:val="single" w:sz="6" w:space="0" w:color="000000"/>
            </w:tcBorders>
            <w:shd w:val="clear" w:color="auto" w:fill="F3F3F3"/>
            <w:tcMar>
              <w:top w:w="40" w:type="dxa"/>
              <w:left w:w="40" w:type="dxa"/>
              <w:bottom w:w="40" w:type="dxa"/>
              <w:right w:w="40" w:type="dxa"/>
            </w:tcMar>
            <w:vAlign w:val="center"/>
          </w:tcPr>
          <w:p w14:paraId="1CE638D4"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lastRenderedPageBreak/>
              <w:t>ODS 17: Alianzas para lograr los objetivos</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D5"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17.16</w:t>
            </w:r>
            <w:r>
              <w:rPr>
                <w:rFonts w:ascii="Times New Roman" w:eastAsia="Times New Roman" w:hAnsi="Times New Roman" w:cs="Times New Roman"/>
                <w:sz w:val="20"/>
                <w:szCs w:val="20"/>
                <w:vertAlign w:val="superscript"/>
              </w:rPr>
              <w:footnoteReference w:id="79"/>
            </w:r>
            <w:r>
              <w:rPr>
                <w:rFonts w:ascii="Times New Roman" w:eastAsia="Times New Roman" w:hAnsi="Times New Roman" w:cs="Times New Roman"/>
                <w:sz w:val="20"/>
                <w:szCs w:val="20"/>
              </w:rPr>
              <w:t>: Mejorar la Alianza Mundial para el Desarrollo Sostenible, complementada por alianzas multiactor que movilicen e intercambien conocimientos, experiencia, tecnología y recursos financieros, a fin de apoyar el logro de los objetivos de desarrollo sostenible</w:t>
            </w:r>
            <w:r>
              <w:rPr>
                <w:rFonts w:ascii="Times New Roman" w:eastAsia="Times New Roman" w:hAnsi="Times New Roman" w:cs="Times New Roman"/>
                <w:sz w:val="20"/>
                <w:szCs w:val="20"/>
              </w:rPr>
              <w:t xml:space="preserve"> en todos los países, particularmente los países en desarrollo.</w:t>
            </w:r>
          </w:p>
        </w:tc>
        <w:tc>
          <w:tcPr>
            <w:tcW w:w="2946"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center"/>
          </w:tcPr>
          <w:p w14:paraId="1CE638D6"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El proyecto promueve alianzas entre el sector público, privado y la academia para fomentar la innovación y el desarrollo tecnológico, facilitando el intercambio de conocimientos y recursos que</w:t>
            </w:r>
            <w:r>
              <w:rPr>
                <w:rFonts w:ascii="Times New Roman" w:eastAsia="Times New Roman" w:hAnsi="Times New Roman" w:cs="Times New Roman"/>
                <w:sz w:val="20"/>
                <w:szCs w:val="20"/>
              </w:rPr>
              <w:t xml:space="preserve"> impulsen los Objetivos de Desarrollo Sostenible.</w:t>
            </w:r>
          </w:p>
        </w:tc>
      </w:tr>
    </w:tbl>
    <w:p w14:paraId="1CE638D8"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Fuente: Elaboración propia.</w:t>
      </w:r>
    </w:p>
    <w:p w14:paraId="1CE638D9" w14:textId="77777777" w:rsidR="004D0443" w:rsidRDefault="004D0443">
      <w:pPr>
        <w:spacing w:line="276" w:lineRule="auto"/>
        <w:jc w:val="both"/>
        <w:rPr>
          <w:rFonts w:ascii="Times New Roman" w:eastAsia="Times New Roman" w:hAnsi="Times New Roman" w:cs="Times New Roman"/>
          <w:b/>
          <w:sz w:val="22"/>
          <w:szCs w:val="22"/>
        </w:rPr>
      </w:pPr>
    </w:p>
    <w:p w14:paraId="1CE638DA" w14:textId="77777777" w:rsidR="004D0443" w:rsidRDefault="00DA3067">
      <w:pPr>
        <w:spacing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4. RELACIÓN DE LA INICIATIVA CON EL ARTICULADO DEL PLAN DISTRITAL DE DESARROLLO</w:t>
      </w:r>
    </w:p>
    <w:p w14:paraId="1CE638DB"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presente iniciativa se relaciona con varias disposiciones del Plan Distrital de Desarrollo 2024 - 2027 “Bogotá Camina Segura”, como se sintetiza a continuación:</w:t>
      </w:r>
    </w:p>
    <w:tbl>
      <w:tblPr>
        <w:tblStyle w:val="aff1"/>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946"/>
        <w:gridCol w:w="2946"/>
        <w:gridCol w:w="2946"/>
      </w:tblGrid>
      <w:tr w:rsidR="004D0443" w14:paraId="1CE638DF" w14:textId="77777777">
        <w:trPr>
          <w:trHeight w:val="315"/>
        </w:trPr>
        <w:tc>
          <w:tcPr>
            <w:tcW w:w="2946" w:type="dxa"/>
            <w:tcBorders>
              <w:top w:val="single" w:sz="6" w:space="0" w:color="CCCCCC"/>
              <w:left w:val="single" w:sz="6" w:space="0" w:color="CCCCCC"/>
              <w:bottom w:val="single" w:sz="6" w:space="0" w:color="CCCCCC"/>
              <w:right w:val="single" w:sz="6" w:space="0" w:color="CCCCCC"/>
            </w:tcBorders>
            <w:shd w:val="clear" w:color="auto" w:fill="D9EAD3"/>
            <w:tcMar>
              <w:top w:w="40" w:type="dxa"/>
              <w:left w:w="40" w:type="dxa"/>
              <w:bottom w:w="40" w:type="dxa"/>
              <w:right w:w="40" w:type="dxa"/>
            </w:tcMar>
            <w:vAlign w:val="bottom"/>
          </w:tcPr>
          <w:p w14:paraId="1CE638DC" w14:textId="77777777" w:rsidR="004D0443" w:rsidRDefault="00DA3067">
            <w:pPr>
              <w:widowControl w:val="0"/>
              <w:spacing w:line="276" w:lineRule="auto"/>
              <w:jc w:val="center"/>
              <w:rPr>
                <w:sz w:val="20"/>
                <w:szCs w:val="20"/>
              </w:rPr>
            </w:pPr>
            <w:r>
              <w:rPr>
                <w:rFonts w:ascii="Times New Roman" w:eastAsia="Times New Roman" w:hAnsi="Times New Roman" w:cs="Times New Roman"/>
                <w:b/>
                <w:sz w:val="20"/>
                <w:szCs w:val="20"/>
              </w:rPr>
              <w:t>Artículo del PDD (Acuerdo 927 de 2024)</w:t>
            </w:r>
            <w:r>
              <w:rPr>
                <w:rFonts w:ascii="Times New Roman" w:eastAsia="Times New Roman" w:hAnsi="Times New Roman" w:cs="Times New Roman"/>
                <w:b/>
                <w:sz w:val="20"/>
                <w:szCs w:val="20"/>
                <w:vertAlign w:val="superscript"/>
              </w:rPr>
              <w:footnoteReference w:id="80"/>
            </w:r>
          </w:p>
        </w:tc>
        <w:tc>
          <w:tcPr>
            <w:tcW w:w="2946" w:type="dxa"/>
            <w:tcBorders>
              <w:top w:val="single" w:sz="6" w:space="0" w:color="CCCCCC"/>
              <w:left w:val="single" w:sz="6" w:space="0" w:color="CCCCCC"/>
              <w:bottom w:val="single" w:sz="6" w:space="0" w:color="CCCCCC"/>
              <w:right w:val="single" w:sz="6" w:space="0" w:color="CCCCCC"/>
            </w:tcBorders>
            <w:shd w:val="clear" w:color="auto" w:fill="D9EAD3"/>
            <w:tcMar>
              <w:top w:w="40" w:type="dxa"/>
              <w:left w:w="40" w:type="dxa"/>
              <w:bottom w:w="40" w:type="dxa"/>
              <w:right w:w="40" w:type="dxa"/>
            </w:tcMar>
            <w:vAlign w:val="bottom"/>
          </w:tcPr>
          <w:p w14:paraId="1CE638DD" w14:textId="77777777" w:rsidR="004D0443" w:rsidRDefault="00DA3067">
            <w:pPr>
              <w:widowControl w:val="0"/>
              <w:spacing w:line="276" w:lineRule="auto"/>
              <w:jc w:val="center"/>
              <w:rPr>
                <w:sz w:val="20"/>
                <w:szCs w:val="20"/>
              </w:rPr>
            </w:pPr>
            <w:r>
              <w:rPr>
                <w:rFonts w:ascii="Times New Roman" w:eastAsia="Times New Roman" w:hAnsi="Times New Roman" w:cs="Times New Roman"/>
                <w:b/>
                <w:sz w:val="20"/>
                <w:szCs w:val="20"/>
              </w:rPr>
              <w:t>Descripción del artículo</w:t>
            </w:r>
          </w:p>
        </w:tc>
        <w:tc>
          <w:tcPr>
            <w:tcW w:w="2946" w:type="dxa"/>
            <w:tcBorders>
              <w:top w:val="single" w:sz="6" w:space="0" w:color="CCCCCC"/>
              <w:left w:val="single" w:sz="6" w:space="0" w:color="CCCCCC"/>
              <w:bottom w:val="single" w:sz="6" w:space="0" w:color="CCCCCC"/>
              <w:right w:val="single" w:sz="6" w:space="0" w:color="CCCCCC"/>
            </w:tcBorders>
            <w:shd w:val="clear" w:color="auto" w:fill="D9EAD3"/>
            <w:tcMar>
              <w:top w:w="40" w:type="dxa"/>
              <w:left w:w="40" w:type="dxa"/>
              <w:bottom w:w="40" w:type="dxa"/>
              <w:right w:w="40" w:type="dxa"/>
            </w:tcMar>
            <w:vAlign w:val="bottom"/>
          </w:tcPr>
          <w:p w14:paraId="1CE638DE" w14:textId="77777777" w:rsidR="004D0443" w:rsidRDefault="00DA3067">
            <w:pPr>
              <w:widowControl w:val="0"/>
              <w:spacing w:line="276" w:lineRule="auto"/>
              <w:jc w:val="center"/>
              <w:rPr>
                <w:sz w:val="20"/>
                <w:szCs w:val="20"/>
              </w:rPr>
            </w:pPr>
            <w:r>
              <w:rPr>
                <w:rFonts w:ascii="Times New Roman" w:eastAsia="Times New Roman" w:hAnsi="Times New Roman" w:cs="Times New Roman"/>
                <w:b/>
                <w:sz w:val="20"/>
                <w:szCs w:val="20"/>
              </w:rPr>
              <w:t xml:space="preserve">Relación del Proyecto de Acuerdo </w:t>
            </w:r>
          </w:p>
        </w:tc>
      </w:tr>
      <w:tr w:rsidR="004D0443" w14:paraId="1CE638E3" w14:textId="77777777">
        <w:trPr>
          <w:trHeight w:val="1755"/>
        </w:trPr>
        <w:tc>
          <w:tcPr>
            <w:tcW w:w="2946" w:type="dxa"/>
            <w:tcBorders>
              <w:top w:val="single" w:sz="6" w:space="0" w:color="CCCCCC"/>
              <w:left w:val="single" w:sz="6" w:space="0" w:color="CCCCCC"/>
              <w:bottom w:val="single" w:sz="6" w:space="0" w:color="CCCCCC"/>
              <w:right w:val="single" w:sz="6" w:space="0" w:color="CCCCCC"/>
            </w:tcBorders>
            <w:shd w:val="clear" w:color="auto" w:fill="F3F3F3"/>
            <w:tcMar>
              <w:top w:w="40" w:type="dxa"/>
              <w:left w:w="40" w:type="dxa"/>
              <w:bottom w:w="40" w:type="dxa"/>
              <w:right w:w="40" w:type="dxa"/>
            </w:tcMar>
            <w:vAlign w:val="center"/>
          </w:tcPr>
          <w:p w14:paraId="1CE638E0"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Artículo 4: Objetivos estratégicos del Plan Distrital</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1"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Este artículo establece como objetivo consolidar a Bogotá como una ciudad competitiva basada en la ciencia, tecnología e innovación, promoviendo el emprendimiento y el crecimiento económico.</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2"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 xml:space="preserve">El presente proyecto se alinea directamente con este objetivo al </w:t>
            </w:r>
            <w:r>
              <w:rPr>
                <w:rFonts w:ascii="Times New Roman" w:eastAsia="Times New Roman" w:hAnsi="Times New Roman" w:cs="Times New Roman"/>
                <w:sz w:val="20"/>
                <w:szCs w:val="20"/>
              </w:rPr>
              <w:t>apoyar la creación de startups innovadoras, posicionando a Bogotá como un centro tecnológico y de innovación, fomentando la competitividad en sectores como Fintech y PropTech​.</w:t>
            </w:r>
          </w:p>
        </w:tc>
      </w:tr>
      <w:tr w:rsidR="004D0443" w14:paraId="1CE638E7" w14:textId="77777777">
        <w:trPr>
          <w:trHeight w:val="2280"/>
        </w:trPr>
        <w:tc>
          <w:tcPr>
            <w:tcW w:w="2946" w:type="dxa"/>
            <w:tcBorders>
              <w:top w:val="single" w:sz="6" w:space="0" w:color="CCCCCC"/>
              <w:left w:val="single" w:sz="6" w:space="0" w:color="CCCCCC"/>
              <w:bottom w:val="single" w:sz="6" w:space="0" w:color="CCCCCC"/>
              <w:right w:val="single" w:sz="6" w:space="0" w:color="CCCCCC"/>
            </w:tcBorders>
            <w:shd w:val="clear" w:color="auto" w:fill="F3F3F3"/>
            <w:tcMar>
              <w:top w:w="40" w:type="dxa"/>
              <w:left w:w="40" w:type="dxa"/>
              <w:bottom w:w="40" w:type="dxa"/>
              <w:right w:w="40" w:type="dxa"/>
            </w:tcMar>
            <w:vAlign w:val="center"/>
          </w:tcPr>
          <w:p w14:paraId="1CE638E4"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lastRenderedPageBreak/>
              <w:t>Artículo 86: Campus de Ciencia, Tecnología e Innovación de Bogotá (CTIB)</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5"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Desarrollar un campus que integre a startups, empresas, y academia en un espacio colaborativo para fomentar la innovación.</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6"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El presente proyecto  está vinculado con la creación del campus CTeI, ya que facilitará el acceso a infraestructura tecnológica avanz</w:t>
            </w:r>
            <w:r>
              <w:rPr>
                <w:rFonts w:ascii="Times New Roman" w:eastAsia="Times New Roman" w:hAnsi="Times New Roman" w:cs="Times New Roman"/>
                <w:sz w:val="20"/>
                <w:szCs w:val="20"/>
              </w:rPr>
              <w:t>ada y promoverá la colaboración entre emprendedores, investigadores y actores clave en el ecosistema de innovación​.</w:t>
            </w:r>
          </w:p>
        </w:tc>
      </w:tr>
      <w:tr w:rsidR="004D0443" w14:paraId="1CE638EB" w14:textId="77777777">
        <w:trPr>
          <w:trHeight w:val="1515"/>
        </w:trPr>
        <w:tc>
          <w:tcPr>
            <w:tcW w:w="2946" w:type="dxa"/>
            <w:tcBorders>
              <w:top w:val="single" w:sz="6" w:space="0" w:color="CCCCCC"/>
              <w:left w:val="single" w:sz="6" w:space="0" w:color="CCCCCC"/>
              <w:bottom w:val="single" w:sz="6" w:space="0" w:color="CCCCCC"/>
              <w:right w:val="single" w:sz="6" w:space="0" w:color="CCCCCC"/>
            </w:tcBorders>
            <w:shd w:val="clear" w:color="auto" w:fill="F3F3F3"/>
            <w:tcMar>
              <w:top w:w="40" w:type="dxa"/>
              <w:left w:w="40" w:type="dxa"/>
              <w:bottom w:w="40" w:type="dxa"/>
              <w:right w:w="40" w:type="dxa"/>
            </w:tcMar>
            <w:vAlign w:val="center"/>
          </w:tcPr>
          <w:p w14:paraId="1CE638E8"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Artículo 85: Agencia Distrital para la Educación Superior, Ciencia y Tecnología (Atenea)</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9"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Modificación del objeto de la Agencia Atenea para</w:t>
            </w:r>
            <w:r>
              <w:rPr>
                <w:rFonts w:ascii="Times New Roman" w:eastAsia="Times New Roman" w:hAnsi="Times New Roman" w:cs="Times New Roman"/>
                <w:sz w:val="20"/>
                <w:szCs w:val="20"/>
              </w:rPr>
              <w:t xml:space="preserve"> financiar proyectos de educación superior y ciencia, impulsando el desarrollo de nuevas tecnologías e innovación.</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A"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Las startups en virtud de esta iniciativa se beneficiarán del acceso a talento formado en áreas tecnológicas y científicas, lo que refuerza l</w:t>
            </w:r>
            <w:r>
              <w:rPr>
                <w:rFonts w:ascii="Times New Roman" w:eastAsia="Times New Roman" w:hAnsi="Times New Roman" w:cs="Times New Roman"/>
                <w:sz w:val="20"/>
                <w:szCs w:val="20"/>
              </w:rPr>
              <w:t>a capacidad de estas empresas emergentes para crecer y generar innovación en sectores clave como Fintech​.</w:t>
            </w:r>
          </w:p>
        </w:tc>
      </w:tr>
      <w:tr w:rsidR="004D0443" w14:paraId="1CE638EF" w14:textId="77777777">
        <w:trPr>
          <w:trHeight w:val="1755"/>
        </w:trPr>
        <w:tc>
          <w:tcPr>
            <w:tcW w:w="2946" w:type="dxa"/>
            <w:tcBorders>
              <w:top w:val="single" w:sz="6" w:space="0" w:color="CCCCCC"/>
              <w:left w:val="single" w:sz="6" w:space="0" w:color="CCCCCC"/>
              <w:bottom w:val="single" w:sz="6" w:space="0" w:color="CCCCCC"/>
              <w:right w:val="single" w:sz="6" w:space="0" w:color="CCCCCC"/>
            </w:tcBorders>
            <w:shd w:val="clear" w:color="auto" w:fill="F3F3F3"/>
            <w:tcMar>
              <w:top w:w="40" w:type="dxa"/>
              <w:left w:w="40" w:type="dxa"/>
              <w:bottom w:w="40" w:type="dxa"/>
              <w:right w:w="40" w:type="dxa"/>
            </w:tcMar>
            <w:vAlign w:val="center"/>
          </w:tcPr>
          <w:p w14:paraId="1CE638EC"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Artículo 96: Incentivo a la creación de empleo y la contratación incluyente</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D"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Este artículo fomenta la creación de empleo formal, particularmente mediante la inclusión de poblaciones vulnerables.</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EE"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El presente proyecto apoya la creación de nuevas empresas, que a su vez generan empleo formal. Además, al alinearse con los incentivos par</w:t>
            </w:r>
            <w:r>
              <w:rPr>
                <w:rFonts w:ascii="Times New Roman" w:eastAsia="Times New Roman" w:hAnsi="Times New Roman" w:cs="Times New Roman"/>
                <w:sz w:val="20"/>
                <w:szCs w:val="20"/>
              </w:rPr>
              <w:t>a la contratación incluyente, las startups pueden contribuir significativamente a la reducción del desempleo y la inclusión laboral​.</w:t>
            </w:r>
          </w:p>
        </w:tc>
      </w:tr>
      <w:tr w:rsidR="004D0443" w14:paraId="1CE638F3" w14:textId="77777777">
        <w:trPr>
          <w:trHeight w:val="1995"/>
        </w:trPr>
        <w:tc>
          <w:tcPr>
            <w:tcW w:w="2946" w:type="dxa"/>
            <w:tcBorders>
              <w:top w:val="single" w:sz="6" w:space="0" w:color="CCCCCC"/>
              <w:left w:val="single" w:sz="6" w:space="0" w:color="CCCCCC"/>
              <w:bottom w:val="single" w:sz="6" w:space="0" w:color="CCCCCC"/>
              <w:right w:val="single" w:sz="6" w:space="0" w:color="CCCCCC"/>
            </w:tcBorders>
            <w:shd w:val="clear" w:color="auto" w:fill="F3F3F3"/>
            <w:tcMar>
              <w:top w:w="40" w:type="dxa"/>
              <w:left w:w="40" w:type="dxa"/>
              <w:bottom w:w="40" w:type="dxa"/>
              <w:right w:w="40" w:type="dxa"/>
            </w:tcMar>
            <w:vAlign w:val="center"/>
          </w:tcPr>
          <w:p w14:paraId="1CE638F0" w14:textId="77777777" w:rsidR="004D0443" w:rsidRDefault="00DA3067">
            <w:pPr>
              <w:widowControl w:val="0"/>
              <w:spacing w:line="276" w:lineRule="auto"/>
              <w:jc w:val="center"/>
              <w:rPr>
                <w:sz w:val="20"/>
                <w:szCs w:val="20"/>
              </w:rPr>
            </w:pPr>
            <w:r>
              <w:rPr>
                <w:rFonts w:ascii="Times New Roman" w:eastAsia="Times New Roman" w:hAnsi="Times New Roman" w:cs="Times New Roman"/>
                <w:sz w:val="20"/>
                <w:szCs w:val="20"/>
              </w:rPr>
              <w:t>Artículo 209: Ecosistema de Innovación Pública y Govtech</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F1"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El artículo promueve el ecosistema de innovación pública distrital, incluyendo el uso de tecnologías GovTech y la colaboración entre actores del sector público, privado y académico.</w:t>
            </w:r>
          </w:p>
        </w:tc>
        <w:tc>
          <w:tcPr>
            <w:tcW w:w="2946" w:type="dxa"/>
            <w:tcBorders>
              <w:top w:val="single" w:sz="6" w:space="0" w:color="CCCCCC"/>
              <w:left w:val="single" w:sz="6" w:space="0" w:color="CCCCCC"/>
              <w:bottom w:val="single" w:sz="6" w:space="0" w:color="CCCCCC"/>
              <w:right w:val="single" w:sz="6" w:space="0" w:color="CCCCCC"/>
            </w:tcBorders>
            <w:tcMar>
              <w:top w:w="40" w:type="dxa"/>
              <w:left w:w="40" w:type="dxa"/>
              <w:bottom w:w="40" w:type="dxa"/>
              <w:right w:w="40" w:type="dxa"/>
            </w:tcMar>
            <w:vAlign w:val="center"/>
          </w:tcPr>
          <w:p w14:paraId="1CE638F2" w14:textId="77777777" w:rsidR="004D0443" w:rsidRDefault="00DA3067">
            <w:pPr>
              <w:widowControl w:val="0"/>
              <w:spacing w:line="276" w:lineRule="auto"/>
              <w:jc w:val="both"/>
              <w:rPr>
                <w:sz w:val="20"/>
                <w:szCs w:val="20"/>
              </w:rPr>
            </w:pPr>
            <w:r>
              <w:rPr>
                <w:rFonts w:ascii="Times New Roman" w:eastAsia="Times New Roman" w:hAnsi="Times New Roman" w:cs="Times New Roman"/>
                <w:sz w:val="20"/>
                <w:szCs w:val="20"/>
              </w:rPr>
              <w:t>El proyecto  refuerza este ecosistema de innovación, apoyando a startups t</w:t>
            </w:r>
            <w:r>
              <w:rPr>
                <w:rFonts w:ascii="Times New Roman" w:eastAsia="Times New Roman" w:hAnsi="Times New Roman" w:cs="Times New Roman"/>
                <w:sz w:val="20"/>
                <w:szCs w:val="20"/>
              </w:rPr>
              <w:t>ecnológicas que pueden contribuir al desarrollo de soluciones GovTech, facilitando la colaboración entre emprendedores y el sector público para modernizar la gestión gubernamental​.</w:t>
            </w:r>
          </w:p>
        </w:tc>
      </w:tr>
    </w:tbl>
    <w:p w14:paraId="1CE638F4" w14:textId="77777777" w:rsidR="004D0443" w:rsidRDefault="00DA3067">
      <w:pPr>
        <w:spacing w:line="276" w:lineRule="auto"/>
        <w:jc w:val="both"/>
        <w:rPr>
          <w:rFonts w:ascii="Times New Roman" w:eastAsia="Times New Roman" w:hAnsi="Times New Roman" w:cs="Times New Roman"/>
          <w:b/>
          <w:sz w:val="22"/>
          <w:szCs w:val="22"/>
        </w:rPr>
      </w:pPr>
      <w:r>
        <w:rPr>
          <w:rFonts w:ascii="Times New Roman" w:eastAsia="Times New Roman" w:hAnsi="Times New Roman" w:cs="Times New Roman"/>
          <w:sz w:val="18"/>
          <w:szCs w:val="18"/>
        </w:rPr>
        <w:t>Fuente: Elaboración propia.</w:t>
      </w:r>
      <w:r>
        <w:rPr>
          <w:rFonts w:ascii="Times New Roman" w:eastAsia="Times New Roman" w:hAnsi="Times New Roman" w:cs="Times New Roman"/>
          <w:b/>
          <w:sz w:val="22"/>
          <w:szCs w:val="22"/>
        </w:rPr>
        <w:br/>
      </w:r>
      <w:r>
        <w:rPr>
          <w:rFonts w:ascii="Times New Roman" w:eastAsia="Times New Roman" w:hAnsi="Times New Roman" w:cs="Times New Roman"/>
          <w:b/>
          <w:sz w:val="22"/>
          <w:szCs w:val="22"/>
        </w:rPr>
        <w:br/>
        <w:t>5. RELACIÓN DE LA INICIATIVA CON EL PLAN NAC</w:t>
      </w:r>
      <w:r>
        <w:rPr>
          <w:rFonts w:ascii="Times New Roman" w:eastAsia="Times New Roman" w:hAnsi="Times New Roman" w:cs="Times New Roman"/>
          <w:b/>
          <w:sz w:val="22"/>
          <w:szCs w:val="22"/>
        </w:rPr>
        <w:t>IONAL DE DESARROLLO</w:t>
      </w:r>
    </w:p>
    <w:p w14:paraId="1CE638F5" w14:textId="77777777" w:rsidR="004D0443" w:rsidRDefault="004D0443">
      <w:pPr>
        <w:spacing w:line="276" w:lineRule="auto"/>
        <w:jc w:val="both"/>
        <w:rPr>
          <w:rFonts w:ascii="Times New Roman" w:eastAsia="Times New Roman" w:hAnsi="Times New Roman" w:cs="Times New Roman"/>
          <w:b/>
          <w:sz w:val="22"/>
          <w:szCs w:val="22"/>
        </w:rPr>
      </w:pPr>
    </w:p>
    <w:p w14:paraId="1CE638F6" w14:textId="77777777" w:rsidR="004D0443" w:rsidRDefault="00DA3067">
      <w:pPr>
        <w:spacing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presente Proyecto de Acuerdo también se relaciona con el Plan Nacional de Desarrollo 2022 - 2026 “Colombia Potencia Mundial de la Vida” como se presenta a continuación:</w:t>
      </w:r>
    </w:p>
    <w:p w14:paraId="1CE638F7" w14:textId="77777777" w:rsidR="004D0443" w:rsidRDefault="004D0443">
      <w:pPr>
        <w:spacing w:line="276" w:lineRule="auto"/>
        <w:jc w:val="both"/>
        <w:rPr>
          <w:rFonts w:ascii="Times New Roman" w:eastAsia="Times New Roman" w:hAnsi="Times New Roman" w:cs="Times New Roman"/>
          <w:sz w:val="22"/>
          <w:szCs w:val="22"/>
        </w:rPr>
      </w:pPr>
    </w:p>
    <w:sdt>
      <w:sdtPr>
        <w:tag w:val="goog_rdk_0"/>
        <w:id w:val="247001193"/>
        <w:lock w:val="contentLocked"/>
      </w:sdtPr>
      <w:sdtEndPr/>
      <w:sdtContent>
        <w:tbl>
          <w:tblPr>
            <w:tblStyle w:val="aff2"/>
            <w:tblW w:w="8842" w:type="dxa"/>
            <w:jc w:val="cente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948"/>
            <w:gridCol w:w="2947"/>
            <w:gridCol w:w="2947"/>
          </w:tblGrid>
          <w:tr w:rsidR="004D0443" w14:paraId="1CE638FB" w14:textId="77777777">
            <w:trPr>
              <w:jc w:val="center"/>
            </w:trPr>
            <w:tc>
              <w:tcPr>
                <w:tcW w:w="2948" w:type="dxa"/>
                <w:tcBorders>
                  <w:top w:val="single" w:sz="6" w:space="0" w:color="000000"/>
                  <w:left w:val="single" w:sz="6" w:space="0" w:color="000000"/>
                  <w:bottom w:val="single" w:sz="6" w:space="0" w:color="000000"/>
                  <w:right w:val="single" w:sz="6" w:space="0" w:color="000000"/>
                </w:tcBorders>
                <w:shd w:val="clear" w:color="auto" w:fill="D9EAD3"/>
                <w:tcMar>
                  <w:top w:w="100" w:type="dxa"/>
                  <w:left w:w="100" w:type="dxa"/>
                  <w:bottom w:w="100" w:type="dxa"/>
                  <w:right w:w="100" w:type="dxa"/>
                </w:tcMar>
                <w:vAlign w:val="center"/>
              </w:tcPr>
              <w:p w14:paraId="1CE638F8" w14:textId="77777777" w:rsidR="004D0443" w:rsidRDefault="00DA3067">
                <w:pPr>
                  <w:widowControl w:val="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Eje</w:t>
                </w:r>
              </w:p>
            </w:tc>
            <w:tc>
              <w:tcPr>
                <w:tcW w:w="2947" w:type="dxa"/>
                <w:tcBorders>
                  <w:top w:val="single" w:sz="6" w:space="0" w:color="000000"/>
                  <w:left w:val="single" w:sz="6" w:space="0" w:color="000000"/>
                  <w:bottom w:val="single" w:sz="6" w:space="0" w:color="000000"/>
                  <w:right w:val="single" w:sz="6" w:space="0" w:color="000000"/>
                </w:tcBorders>
                <w:shd w:val="clear" w:color="auto" w:fill="D9EAD3"/>
                <w:tcMar>
                  <w:top w:w="100" w:type="dxa"/>
                  <w:left w:w="100" w:type="dxa"/>
                  <w:bottom w:w="100" w:type="dxa"/>
                  <w:right w:w="100" w:type="dxa"/>
                </w:tcMar>
                <w:vAlign w:val="center"/>
              </w:tcPr>
              <w:p w14:paraId="1CE638F9" w14:textId="77777777" w:rsidR="004D0443" w:rsidRDefault="00DA3067">
                <w:pPr>
                  <w:widowControl w:val="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Meta</w:t>
                </w:r>
                <w:r>
                  <w:rPr>
                    <w:rFonts w:ascii="Times New Roman" w:eastAsia="Times New Roman" w:hAnsi="Times New Roman" w:cs="Times New Roman"/>
                    <w:b/>
                    <w:sz w:val="20"/>
                    <w:szCs w:val="20"/>
                    <w:vertAlign w:val="superscript"/>
                  </w:rPr>
                  <w:footnoteReference w:id="81"/>
                </w:r>
              </w:p>
            </w:tc>
            <w:tc>
              <w:tcPr>
                <w:tcW w:w="2947" w:type="dxa"/>
                <w:tcBorders>
                  <w:top w:val="single" w:sz="6" w:space="0" w:color="000000"/>
                  <w:left w:val="single" w:sz="6" w:space="0" w:color="000000"/>
                  <w:bottom w:val="single" w:sz="6" w:space="0" w:color="000000"/>
                  <w:right w:val="single" w:sz="6" w:space="0" w:color="000000"/>
                </w:tcBorders>
                <w:shd w:val="clear" w:color="auto" w:fill="D9EAD3"/>
                <w:tcMar>
                  <w:top w:w="100" w:type="dxa"/>
                  <w:left w:w="100" w:type="dxa"/>
                  <w:bottom w:w="100" w:type="dxa"/>
                  <w:right w:w="100" w:type="dxa"/>
                </w:tcMar>
                <w:vAlign w:val="center"/>
              </w:tcPr>
              <w:p w14:paraId="1CE638FA" w14:textId="77777777" w:rsidR="004D0443" w:rsidRDefault="00DA3067">
                <w:pPr>
                  <w:widowControl w:val="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Relación con el Proyecto de Acuerdo</w:t>
                </w:r>
              </w:p>
            </w:tc>
          </w:tr>
          <w:tr w:rsidR="004D0443" w14:paraId="1CE638FF" w14:textId="77777777">
            <w:trPr>
              <w:jc w:val="center"/>
            </w:trPr>
            <w:tc>
              <w:tcPr>
                <w:tcW w:w="294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8FC"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Derecho Humano a la alimentación</w:t>
                </w:r>
              </w:p>
            </w:tc>
            <w:tc>
              <w:tcPr>
                <w:tcW w:w="2947"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8FD"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Producción para la vida: Aumentar en 10,38% la producción de cadenas agrícolas priorizadas para el Derecho Humano a la Alimentación</w:t>
                </w:r>
              </w:p>
            </w:tc>
            <w:tc>
              <w:tcPr>
                <w:tcW w:w="2947"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8FE"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El impulso de las agrotech genera un canal para conectar de manera eficiente la oferta y de</w:t>
                </w:r>
                <w:r>
                  <w:rPr>
                    <w:rFonts w:ascii="Times New Roman" w:eastAsia="Times New Roman" w:hAnsi="Times New Roman" w:cs="Times New Roman"/>
                    <w:sz w:val="20"/>
                    <w:szCs w:val="20"/>
                  </w:rPr>
                  <w:t>manda de productos agrícolas, lo cual optimiza procesos de comercialización y la consolidación de condiciones y precios más justos para los campesinos. Asimismo, este tipo de startups proporciona acceso a créditos y financiamientos de una manera más sencil</w:t>
                </w:r>
                <w:r>
                  <w:rPr>
                    <w:rFonts w:ascii="Times New Roman" w:eastAsia="Times New Roman" w:hAnsi="Times New Roman" w:cs="Times New Roman"/>
                    <w:sz w:val="20"/>
                    <w:szCs w:val="20"/>
                  </w:rPr>
                  <w:t>la así como el acceso a nuevas tecnologías que permiten mejor rendimiento de los cultivos, prevención de afectaciones climáticas y uso de insumos de mejor calidad y menor costo, lo cual permite a los agricultores y sectores involucrados tener mayor producc</w:t>
                </w:r>
                <w:r>
                  <w:rPr>
                    <w:rFonts w:ascii="Times New Roman" w:eastAsia="Times New Roman" w:hAnsi="Times New Roman" w:cs="Times New Roman"/>
                    <w:sz w:val="20"/>
                    <w:szCs w:val="20"/>
                  </w:rPr>
                  <w:t xml:space="preserve">ión y por ende generar mayor oferta de alimentos. </w:t>
                </w:r>
                <w:r>
                  <w:rPr>
                    <w:rFonts w:ascii="Times New Roman" w:eastAsia="Times New Roman" w:hAnsi="Times New Roman" w:cs="Times New Roman"/>
                    <w:sz w:val="20"/>
                    <w:szCs w:val="20"/>
                    <w:vertAlign w:val="superscript"/>
                  </w:rPr>
                  <w:footnoteReference w:id="82"/>
                </w:r>
              </w:p>
            </w:tc>
          </w:tr>
          <w:tr w:rsidR="004D0443" w14:paraId="1CE63903" w14:textId="77777777">
            <w:trPr>
              <w:jc w:val="center"/>
            </w:trPr>
            <w:tc>
              <w:tcPr>
                <w:tcW w:w="294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900"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Ordenamiento del territorio alrededor del agua y la justicia ambiental</w:t>
                </w:r>
              </w:p>
            </w:tc>
            <w:tc>
              <w:tcPr>
                <w:tcW w:w="2947"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901"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Formalización de las propiedades rurales pequeñas y medianas: alcanzar 3.9 millones de hectáreas formalizadas al final del cuatrieni</w:t>
                </w:r>
                <w:r>
                  <w:rPr>
                    <w:rFonts w:ascii="Times New Roman" w:eastAsia="Times New Roman" w:hAnsi="Times New Roman" w:cs="Times New Roman"/>
                    <w:sz w:val="20"/>
                    <w:szCs w:val="20"/>
                  </w:rPr>
                  <w:t>o</w:t>
                </w:r>
              </w:p>
            </w:tc>
            <w:tc>
              <w:tcPr>
                <w:tcW w:w="2947"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902"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Actualmente, existen startups como "Suyo", cuyo propósito se enfoca en potenciar la formalización y titulación de </w:t>
                </w:r>
                <w:r>
                  <w:rPr>
                    <w:rFonts w:ascii="Times New Roman" w:eastAsia="Times New Roman" w:hAnsi="Times New Roman" w:cs="Times New Roman"/>
                    <w:sz w:val="20"/>
                    <w:szCs w:val="20"/>
                  </w:rPr>
                  <w:lastRenderedPageBreak/>
                  <w:t>tierras a través de la simplificación de procesos y conexión de personas que buscan la restitución de tierras y formalización de propiedades</w:t>
                </w:r>
                <w:r>
                  <w:rPr>
                    <w:rFonts w:ascii="Times New Roman" w:eastAsia="Times New Roman" w:hAnsi="Times New Roman" w:cs="Times New Roman"/>
                    <w:sz w:val="20"/>
                    <w:szCs w:val="20"/>
                  </w:rPr>
                  <w:t xml:space="preserve"> con los programas gubernamentales reduciendo obstáculos burocráticos y movilización de subsidios por medio de la georreferenciación y tecnología blockchain que puede garantizar seguridad jurídica de las tierras.</w:t>
                </w:r>
                <w:r>
                  <w:rPr>
                    <w:rFonts w:ascii="Times New Roman" w:eastAsia="Times New Roman" w:hAnsi="Times New Roman" w:cs="Times New Roman"/>
                    <w:sz w:val="20"/>
                    <w:szCs w:val="20"/>
                    <w:vertAlign w:val="superscript"/>
                  </w:rPr>
                  <w:footnoteReference w:id="83"/>
                </w:r>
              </w:p>
            </w:tc>
          </w:tr>
          <w:tr w:rsidR="004D0443" w14:paraId="1CE63907" w14:textId="77777777">
            <w:trPr>
              <w:jc w:val="center"/>
            </w:trPr>
            <w:tc>
              <w:tcPr>
                <w:tcW w:w="2948" w:type="dxa"/>
                <w:vMerge w:val="restart"/>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904"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Convergencia regional</w:t>
                </w:r>
              </w:p>
            </w:tc>
            <w:tc>
              <w:tcPr>
                <w:tcW w:w="2947"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905"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Más hogares con vivienda: reducir a un 26% el número de hogares con déficit habitacional en el país</w:t>
                </w:r>
              </w:p>
            </w:tc>
            <w:tc>
              <w:tcPr>
                <w:tcW w:w="2947"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906"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Las startups por medio de tecnología modular que hace el proceso de construcción más eficiente y rápido, reduce los costos de edificación haciendo que la vi</w:t>
                </w:r>
                <w:r>
                  <w:rPr>
                    <w:rFonts w:ascii="Times New Roman" w:eastAsia="Times New Roman" w:hAnsi="Times New Roman" w:cs="Times New Roman"/>
                    <w:sz w:val="20"/>
                    <w:szCs w:val="20"/>
                  </w:rPr>
                  <w:t>vienda sea más asequible para aquellas familias más vulnerables. De igual forma, las startups PropTech, logran conectar familias sin vivienda con oportunidades estatales pero también mejoran las condiciones de acceso a créditos de vivienda</w:t>
                </w:r>
                <w:r>
                  <w:rPr>
                    <w:rFonts w:ascii="Times New Roman" w:eastAsia="Times New Roman" w:hAnsi="Times New Roman" w:cs="Times New Roman"/>
                    <w:sz w:val="20"/>
                    <w:szCs w:val="20"/>
                    <w:vertAlign w:val="superscript"/>
                  </w:rPr>
                  <w:footnoteReference w:id="84"/>
                </w:r>
                <w:r>
                  <w:rPr>
                    <w:rFonts w:ascii="Times New Roman" w:eastAsia="Times New Roman" w:hAnsi="Times New Roman" w:cs="Times New Roman"/>
                    <w:sz w:val="20"/>
                    <w:szCs w:val="20"/>
                  </w:rPr>
                  <w:t xml:space="preserve"> eliminando barr</w:t>
                </w:r>
                <w:r>
                  <w:rPr>
                    <w:rFonts w:ascii="Times New Roman" w:eastAsia="Times New Roman" w:hAnsi="Times New Roman" w:cs="Times New Roman"/>
                    <w:sz w:val="20"/>
                    <w:szCs w:val="20"/>
                  </w:rPr>
                  <w:t xml:space="preserve">eras que limitan la adquisición de vivienda digna. </w:t>
                </w:r>
              </w:p>
            </w:tc>
          </w:tr>
          <w:tr w:rsidR="004D0443" w14:paraId="1CE6390B" w14:textId="77777777">
            <w:trPr>
              <w:jc w:val="center"/>
            </w:trPr>
            <w:tc>
              <w:tcPr>
                <w:tcW w:w="2948" w:type="dxa"/>
                <w:vMerge/>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center"/>
              </w:tcPr>
              <w:p w14:paraId="1CE63908"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09"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Fortalecer capacidad logística: reducir el costo logístico sobre las ventas en 10,1 puntos porcentuales. </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0A"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Las startups Logtech contribuyen de manera directa a la reducción de costos en las cadenas de suministro, desde la optimización de rutas y transporte, uso de energía, gestión administrativa y reducción de la dependencia de </w:t>
                </w:r>
                <w:r>
                  <w:rPr>
                    <w:rFonts w:ascii="Times New Roman" w:eastAsia="Times New Roman" w:hAnsi="Times New Roman" w:cs="Times New Roman"/>
                    <w:sz w:val="20"/>
                    <w:szCs w:val="20"/>
                  </w:rPr>
                  <w:lastRenderedPageBreak/>
                  <w:t>procesos manuales que pasan a ser</w:t>
                </w:r>
                <w:r>
                  <w:rPr>
                    <w:rFonts w:ascii="Times New Roman" w:eastAsia="Times New Roman" w:hAnsi="Times New Roman" w:cs="Times New Roman"/>
                    <w:sz w:val="20"/>
                    <w:szCs w:val="20"/>
                  </w:rPr>
                  <w:t xml:space="preserve"> procesos basados en la inteligencia artificial y big data que agilizan y automatizan los procesos necesarios para el buen funcionamiento de las empresas.</w:t>
                </w:r>
              </w:p>
            </w:tc>
          </w:tr>
          <w:tr w:rsidR="004D0443" w14:paraId="1CE6390F" w14:textId="77777777">
            <w:trPr>
              <w:jc w:val="center"/>
            </w:trPr>
            <w:tc>
              <w:tcPr>
                <w:tcW w:w="2948" w:type="dxa"/>
                <w:vMerge w:val="restart"/>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0C"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Transformación productiva, internacionalización y acción climática</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0D"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Transición energética para la vid</w:t>
                </w:r>
                <w:r>
                  <w:rPr>
                    <w:rFonts w:ascii="Times New Roman" w:eastAsia="Times New Roman" w:hAnsi="Times New Roman" w:cs="Times New Roman"/>
                    <w:sz w:val="20"/>
                    <w:szCs w:val="20"/>
                  </w:rPr>
                  <w:t>a: utilizar excedentes financieros del carbón y del petróleo para hacer una transición energética que lleve al país hacia la economía verde</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0E"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Generar condiciones óptimas para el aumento de las EnergyTech  impulsa la transición energética por medio del sector</w:t>
                </w:r>
                <w:r>
                  <w:rPr>
                    <w:rFonts w:ascii="Times New Roman" w:eastAsia="Times New Roman" w:hAnsi="Times New Roman" w:cs="Times New Roman"/>
                    <w:sz w:val="20"/>
                    <w:szCs w:val="20"/>
                  </w:rPr>
                  <w:t xml:space="preserve"> privado generando que la oferta de energía alternativa y la medición de su uso ofrecida por startups como Erco Energy y Decimetrix sea más competitiva en el mercado y por ende sea una opción más apetecida por las empresas para disminuir su dependencia a c</w:t>
                </w:r>
                <w:r>
                  <w:rPr>
                    <w:rFonts w:ascii="Times New Roman" w:eastAsia="Times New Roman" w:hAnsi="Times New Roman" w:cs="Times New Roman"/>
                    <w:sz w:val="20"/>
                    <w:szCs w:val="20"/>
                  </w:rPr>
                  <w:t xml:space="preserve">ombustibles tradicionales. </w:t>
                </w:r>
              </w:p>
            </w:tc>
          </w:tr>
          <w:tr w:rsidR="004D0443" w14:paraId="1CE63913" w14:textId="77777777">
            <w:trPr>
              <w:jc w:val="center"/>
            </w:trPr>
            <w:tc>
              <w:tcPr>
                <w:tcW w:w="2948"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0"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1"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Diversificación de exportaciones: incrementar al 56,3% la participación de las exportaciones de bienes no minero energéticos y servicios en el total de exportaciones</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2"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La productividad que generan las startups en los sectores en los que se encuentra involucradas no solo permite aumentar la producción de bienes para alcanzar niveles suficientes para la exportación si no que además aumenta su competitividad en precios y ca</w:t>
                </w:r>
                <w:r>
                  <w:rPr>
                    <w:rFonts w:ascii="Times New Roman" w:eastAsia="Times New Roman" w:hAnsi="Times New Roman" w:cs="Times New Roman"/>
                    <w:sz w:val="20"/>
                    <w:szCs w:val="20"/>
                  </w:rPr>
                  <w:t>lidad en el mercado internacional gracias a la innovación que se encuentra detrás de este tipo de empresas</w:t>
                </w:r>
              </w:p>
            </w:tc>
          </w:tr>
          <w:tr w:rsidR="004D0443" w14:paraId="1CE63917" w14:textId="77777777">
            <w:trPr>
              <w:jc w:val="center"/>
            </w:trPr>
            <w:tc>
              <w:tcPr>
                <w:tcW w:w="2948"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4"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5"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Reindustrialización intensiva en conocimiento y tecnología: duplicar inversión del país en I+D y llegar al 0,5% de la participación de la inversión en dicho sector en el PIB</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6"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La creación de un ecosistema más favorable para el nacimiento y crecimiento de sta</w:t>
                </w:r>
                <w:r>
                  <w:rPr>
                    <w:rFonts w:ascii="Times New Roman" w:eastAsia="Times New Roman" w:hAnsi="Times New Roman" w:cs="Times New Roman"/>
                    <w:sz w:val="20"/>
                    <w:szCs w:val="20"/>
                  </w:rPr>
                  <w:t>rtups actúa como un catalizador que impulsa la tecnología, innovación, productividad, investigación y conocimiento, no solo en el sector en el que opera cada startup, sino también en los sectores que proveen insumos y aquellos que utilizan sus bienes y ser</w:t>
                </w:r>
                <w:r>
                  <w:rPr>
                    <w:rFonts w:ascii="Times New Roman" w:eastAsia="Times New Roman" w:hAnsi="Times New Roman" w:cs="Times New Roman"/>
                    <w:sz w:val="20"/>
                    <w:szCs w:val="20"/>
                  </w:rPr>
                  <w:t xml:space="preserve">vicios. </w:t>
                </w:r>
                <w:r>
                  <w:rPr>
                    <w:rFonts w:ascii="Times New Roman" w:eastAsia="Times New Roman" w:hAnsi="Times New Roman" w:cs="Times New Roman"/>
                    <w:sz w:val="20"/>
                    <w:szCs w:val="20"/>
                  </w:rPr>
                  <w:lastRenderedPageBreak/>
                  <w:t>Este enfoque no solo potencia la eficiencia y competitividad en múltiples áreas, sino que también atrae inversión, beneficiando a todos los sectores involucrados y promoviendo un desarrollo económico más integrado y sostenible.</w:t>
                </w:r>
              </w:p>
            </w:tc>
          </w:tr>
          <w:tr w:rsidR="004D0443" w14:paraId="1CE6391B" w14:textId="77777777">
            <w:trPr>
              <w:jc w:val="center"/>
            </w:trPr>
            <w:tc>
              <w:tcPr>
                <w:tcW w:w="2948" w:type="dxa"/>
                <w:vMerge w:val="restart"/>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8"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Seguridad humana y </w:t>
                </w:r>
                <w:r>
                  <w:rPr>
                    <w:rFonts w:ascii="Times New Roman" w:eastAsia="Times New Roman" w:hAnsi="Times New Roman" w:cs="Times New Roman"/>
                    <w:sz w:val="20"/>
                    <w:szCs w:val="20"/>
                  </w:rPr>
                  <w:t>justicia social</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9"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Reducir pobreza multidimensional para llegar a un rango entre 11,5% y 9,5% </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A"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Facilitar el acceso a recursos y habilidades para la creación de startups permitiría que individuos interesados en abordar problemas en comunidades vulnerables lo h</w:t>
                </w:r>
                <w:r>
                  <w:rPr>
                    <w:rFonts w:ascii="Times New Roman" w:eastAsia="Times New Roman" w:hAnsi="Times New Roman" w:cs="Times New Roman"/>
                    <w:sz w:val="20"/>
                    <w:szCs w:val="20"/>
                  </w:rPr>
                  <w:t>agan efectivamente a través de la tecnología. Startups como Litro de Luz, Terriformaciones y Tierra Grata son ejemplos de este enfoque, ya que brindan acceso a servicios esenciales como alumbrado público, wifi, viviendas a bajo costo, y agua y saneamiento,</w:t>
                </w:r>
                <w:r>
                  <w:rPr>
                    <w:rFonts w:ascii="Times New Roman" w:eastAsia="Times New Roman" w:hAnsi="Times New Roman" w:cs="Times New Roman"/>
                    <w:sz w:val="20"/>
                    <w:szCs w:val="20"/>
                  </w:rPr>
                  <w:t xml:space="preserve"> co-creados con comunidades que carecen de servicios básicos.</w:t>
                </w:r>
                <w:r>
                  <w:rPr>
                    <w:rFonts w:ascii="Times New Roman" w:eastAsia="Times New Roman" w:hAnsi="Times New Roman" w:cs="Times New Roman"/>
                    <w:sz w:val="20"/>
                    <w:szCs w:val="20"/>
                    <w:vertAlign w:val="superscript"/>
                  </w:rPr>
                  <w:footnoteReference w:id="85"/>
                </w:r>
                <w:r>
                  <w:rPr>
                    <w:rFonts w:ascii="Times New Roman" w:eastAsia="Times New Roman" w:hAnsi="Times New Roman" w:cs="Times New Roman"/>
                    <w:sz w:val="20"/>
                    <w:szCs w:val="20"/>
                  </w:rPr>
                  <w:t xml:space="preserve"> Esta estrategia podría ser un canal eficaz para reducir la pobreza multidimensional.</w:t>
                </w:r>
              </w:p>
            </w:tc>
          </w:tr>
          <w:tr w:rsidR="004D0443" w14:paraId="1CE6391F" w14:textId="77777777">
            <w:trPr>
              <w:jc w:val="center"/>
            </w:trPr>
            <w:tc>
              <w:tcPr>
                <w:tcW w:w="2948"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C"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D"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Impulsar economía popular: aumentar en un 6% los ingresos de micronegocios</w:t>
                </w:r>
              </w:p>
            </w:tc>
            <w:tc>
              <w:tcPr>
                <w:tcW w:w="2947"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E6391E" w14:textId="77777777" w:rsidR="004D0443" w:rsidRDefault="00DA3067">
                <w:pPr>
                  <w:widowControl w:val="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Las Fintech que promueven el acceso a servicios financieros y crédito pueden ayudar a impulsar los micronegocios que conforman la economía popular no solo aumentando el capital para su crecimiento sino también corrigiendo ineficiencias del mercado como las</w:t>
                </w:r>
                <w:r>
                  <w:rPr>
                    <w:rFonts w:ascii="Times New Roman" w:eastAsia="Times New Roman" w:hAnsi="Times New Roman" w:cs="Times New Roman"/>
                    <w:sz w:val="20"/>
                    <w:szCs w:val="20"/>
                  </w:rPr>
                  <w:t xml:space="preserve"> asimetrías de información que dificultan la conexión entre oferta y demanda </w:t>
                </w:r>
                <w:r>
                  <w:rPr>
                    <w:rFonts w:ascii="Times New Roman" w:eastAsia="Times New Roman" w:hAnsi="Times New Roman" w:cs="Times New Roman"/>
                    <w:sz w:val="20"/>
                    <w:szCs w:val="20"/>
                  </w:rPr>
                  <w:lastRenderedPageBreak/>
                  <w:t>de los bienes y servicios que estas microempresas ofrecen.</w:t>
                </w:r>
              </w:p>
            </w:tc>
          </w:tr>
        </w:tbl>
      </w:sdtContent>
    </w:sdt>
    <w:p w14:paraId="1CE63920" w14:textId="77777777" w:rsidR="004D0443" w:rsidRDefault="00DA3067">
      <w:pPr>
        <w:spacing w:line="276"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Fuente: Elaboración propia.</w:t>
      </w:r>
    </w:p>
    <w:p w14:paraId="1CE63921" w14:textId="77777777" w:rsidR="004D0443" w:rsidRDefault="004D0443">
      <w:pPr>
        <w:spacing w:line="276" w:lineRule="auto"/>
        <w:jc w:val="center"/>
        <w:rPr>
          <w:rFonts w:ascii="Times New Roman" w:eastAsia="Times New Roman" w:hAnsi="Times New Roman" w:cs="Times New Roman"/>
          <w:b/>
          <w:sz w:val="22"/>
          <w:szCs w:val="22"/>
        </w:rPr>
      </w:pPr>
    </w:p>
    <w:p w14:paraId="1CE63922" w14:textId="77777777" w:rsidR="004D0443" w:rsidRDefault="004D0443">
      <w:pPr>
        <w:spacing w:line="276" w:lineRule="auto"/>
        <w:jc w:val="center"/>
        <w:rPr>
          <w:rFonts w:ascii="Times New Roman" w:eastAsia="Times New Roman" w:hAnsi="Times New Roman" w:cs="Times New Roman"/>
          <w:b/>
          <w:sz w:val="22"/>
          <w:szCs w:val="22"/>
        </w:rPr>
      </w:pPr>
    </w:p>
    <w:p w14:paraId="1CE63923" w14:textId="77777777" w:rsidR="004D0443" w:rsidRDefault="004D0443">
      <w:pPr>
        <w:spacing w:line="276" w:lineRule="auto"/>
        <w:jc w:val="center"/>
        <w:rPr>
          <w:rFonts w:ascii="Times New Roman" w:eastAsia="Times New Roman" w:hAnsi="Times New Roman" w:cs="Times New Roman"/>
          <w:b/>
          <w:sz w:val="22"/>
          <w:szCs w:val="22"/>
        </w:rPr>
      </w:pPr>
    </w:p>
    <w:p w14:paraId="1CE63924" w14:textId="77777777" w:rsidR="004D0443" w:rsidRDefault="004D0443">
      <w:pPr>
        <w:spacing w:line="276" w:lineRule="auto"/>
        <w:jc w:val="center"/>
        <w:rPr>
          <w:rFonts w:ascii="Times New Roman" w:eastAsia="Times New Roman" w:hAnsi="Times New Roman" w:cs="Times New Roman"/>
          <w:b/>
          <w:sz w:val="22"/>
          <w:szCs w:val="22"/>
        </w:rPr>
      </w:pPr>
    </w:p>
    <w:p w14:paraId="1CE63925" w14:textId="77777777" w:rsidR="004D0443" w:rsidRDefault="00DA3067">
      <w:pPr>
        <w:spacing w:line="276" w:lineRule="auto"/>
        <w:rPr>
          <w:rFonts w:ascii="Times New Roman" w:eastAsia="Times New Roman" w:hAnsi="Times New Roman" w:cs="Times New Roman"/>
          <w:b/>
          <w:sz w:val="22"/>
          <w:szCs w:val="22"/>
        </w:rPr>
      </w:pPr>
      <w:r>
        <w:rPr>
          <w:rFonts w:ascii="Times New Roman" w:eastAsia="Times New Roman" w:hAnsi="Times New Roman" w:cs="Times New Roman"/>
          <w:b/>
          <w:sz w:val="22"/>
          <w:szCs w:val="22"/>
        </w:rPr>
        <w:t>6. ANÁLISIS JURÍDICO DE LA INICIATIVA</w:t>
      </w:r>
    </w:p>
    <w:p w14:paraId="1CE63926" w14:textId="77777777" w:rsidR="004D0443" w:rsidRDefault="004D0443">
      <w:pPr>
        <w:spacing w:line="276" w:lineRule="auto"/>
        <w:jc w:val="center"/>
        <w:rPr>
          <w:rFonts w:ascii="Times New Roman" w:eastAsia="Times New Roman" w:hAnsi="Times New Roman" w:cs="Times New Roman"/>
          <w:b/>
          <w:sz w:val="22"/>
          <w:szCs w:val="22"/>
        </w:rPr>
      </w:pPr>
    </w:p>
    <w:p w14:paraId="1CE63927" w14:textId="77777777" w:rsidR="004D0443" w:rsidRDefault="00DA3067">
      <w:pPr>
        <w:spacing w:line="276" w:lineRule="auto"/>
        <w:jc w:val="both"/>
        <w:rPr>
          <w:rFonts w:ascii="Times New Roman" w:eastAsia="Times New Roman" w:hAnsi="Times New Roman" w:cs="Times New Roman"/>
          <w:b/>
          <w:sz w:val="22"/>
          <w:szCs w:val="22"/>
          <w:highlight w:val="cyan"/>
        </w:rPr>
      </w:pPr>
      <w:r>
        <w:rPr>
          <w:rFonts w:ascii="Times New Roman" w:eastAsia="Times New Roman" w:hAnsi="Times New Roman" w:cs="Times New Roman"/>
          <w:sz w:val="22"/>
          <w:szCs w:val="22"/>
        </w:rPr>
        <w:t>A continuación, se relacionan las normas jurídicas que fundamentan la presente iniciativa tanto del bloque de convencionalidad y la Constitución Política como de rango legal y reglamentario, las cuales están vinculadas con el fomento del emprendimiento y e</w:t>
      </w:r>
      <w:r>
        <w:rPr>
          <w:rFonts w:ascii="Times New Roman" w:eastAsia="Times New Roman" w:hAnsi="Times New Roman" w:cs="Times New Roman"/>
          <w:sz w:val="22"/>
          <w:szCs w:val="22"/>
        </w:rPr>
        <w:t>l desarrollo económico.</w:t>
      </w:r>
    </w:p>
    <w:p w14:paraId="1CE63928" w14:textId="77777777" w:rsidR="004D0443" w:rsidRDefault="00DA3067">
      <w:pPr>
        <w:pBdr>
          <w:top w:val="nil"/>
          <w:left w:val="nil"/>
          <w:bottom w:val="nil"/>
          <w:right w:val="nil"/>
          <w:between w:val="nil"/>
        </w:pBdr>
        <w:spacing w:before="240" w:after="40" w:line="276" w:lineRule="auto"/>
        <w:jc w:val="both"/>
        <w:rPr>
          <w:rFonts w:ascii="Times New Roman" w:eastAsia="Times New Roman" w:hAnsi="Times New Roman" w:cs="Times New Roman"/>
          <w:b/>
          <w:color w:val="000000"/>
          <w:sz w:val="22"/>
          <w:szCs w:val="22"/>
        </w:rPr>
      </w:pPr>
      <w:bookmarkStart w:id="0" w:name="_heading=h.71j0f4dcke8v" w:colFirst="0" w:colLast="0"/>
      <w:bookmarkEnd w:id="0"/>
      <w:r>
        <w:rPr>
          <w:rFonts w:ascii="Times New Roman" w:eastAsia="Times New Roman" w:hAnsi="Times New Roman" w:cs="Times New Roman"/>
          <w:b/>
          <w:sz w:val="22"/>
          <w:szCs w:val="22"/>
        </w:rPr>
        <w:t>5</w:t>
      </w:r>
      <w:r>
        <w:rPr>
          <w:rFonts w:ascii="Times New Roman" w:eastAsia="Times New Roman" w:hAnsi="Times New Roman" w:cs="Times New Roman"/>
          <w:b/>
          <w:color w:val="000000"/>
          <w:sz w:val="22"/>
          <w:szCs w:val="22"/>
        </w:rPr>
        <w:t xml:space="preserve">.1. Bloque de </w:t>
      </w:r>
      <w:r>
        <w:rPr>
          <w:rFonts w:ascii="Times New Roman" w:eastAsia="Times New Roman" w:hAnsi="Times New Roman" w:cs="Times New Roman"/>
          <w:b/>
          <w:sz w:val="22"/>
          <w:szCs w:val="22"/>
        </w:rPr>
        <w:t>c</w:t>
      </w:r>
      <w:r>
        <w:rPr>
          <w:rFonts w:ascii="Times New Roman" w:eastAsia="Times New Roman" w:hAnsi="Times New Roman" w:cs="Times New Roman"/>
          <w:b/>
          <w:color w:val="000000"/>
          <w:sz w:val="22"/>
          <w:szCs w:val="22"/>
        </w:rPr>
        <w:t>onvencionalidad</w:t>
      </w:r>
    </w:p>
    <w:p w14:paraId="1CE63929"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Pacto Internacional de Derechos Económicos, Sociales y Culturales (PIDESC) (1966), aprobado mediante la Ley 74 de 1968, establece en su artículo 6 el derecho al trabajo, lo cual respalda el emprendimiento y la innovación como medios para garantizar el d</w:t>
      </w:r>
      <w:r>
        <w:rPr>
          <w:rFonts w:ascii="Times New Roman" w:eastAsia="Times New Roman" w:hAnsi="Times New Roman" w:cs="Times New Roman"/>
          <w:sz w:val="22"/>
          <w:szCs w:val="22"/>
        </w:rPr>
        <w:t>erecho a un empleo digno y a la libertad económica (Asamblea General de las Naciones Unidas, 1966)</w:t>
      </w:r>
      <w:r>
        <w:rPr>
          <w:rFonts w:ascii="Times New Roman" w:eastAsia="Times New Roman" w:hAnsi="Times New Roman" w:cs="Times New Roman"/>
          <w:sz w:val="22"/>
          <w:szCs w:val="22"/>
          <w:vertAlign w:val="superscript"/>
        </w:rPr>
        <w:footnoteReference w:id="86"/>
      </w:r>
      <w:r>
        <w:rPr>
          <w:rFonts w:ascii="Times New Roman" w:eastAsia="Times New Roman" w:hAnsi="Times New Roman" w:cs="Times New Roman"/>
          <w:sz w:val="22"/>
          <w:szCs w:val="22"/>
        </w:rPr>
        <w:t>.</w:t>
      </w:r>
    </w:p>
    <w:p w14:paraId="1CE6392A" w14:textId="77777777" w:rsidR="004D0443" w:rsidRDefault="00DA3067">
      <w:pPr>
        <w:spacing w:before="240" w:after="240" w:line="276" w:lineRule="auto"/>
        <w:ind w:left="72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w:t>
      </w:r>
      <w:r>
        <w:rPr>
          <w:rFonts w:ascii="Times New Roman" w:eastAsia="Times New Roman" w:hAnsi="Times New Roman" w:cs="Times New Roman"/>
          <w:i/>
          <w:sz w:val="22"/>
          <w:szCs w:val="22"/>
        </w:rPr>
        <w:t>Artículo 6.1. Los Estados Partes en el presente Pacto reconocen el derecho a trabajar, que comprende el derecho de toda persona a ganarse la vida mediante un trabajo libremente escogido o aceptado, y tomarán medidas adecuadas para salvaguardar este derecho</w:t>
      </w:r>
      <w:r>
        <w:rPr>
          <w:rFonts w:ascii="Times New Roman" w:eastAsia="Times New Roman" w:hAnsi="Times New Roman" w:cs="Times New Roman"/>
          <w:sz w:val="22"/>
          <w:szCs w:val="22"/>
        </w:rPr>
        <w:t>” (Asamblea General de las Naciones Unidas, 1966)</w:t>
      </w:r>
      <w:r>
        <w:rPr>
          <w:rFonts w:ascii="Times New Roman" w:eastAsia="Times New Roman" w:hAnsi="Times New Roman" w:cs="Times New Roman"/>
          <w:sz w:val="22"/>
          <w:szCs w:val="22"/>
          <w:vertAlign w:val="superscript"/>
        </w:rPr>
        <w:footnoteReference w:id="87"/>
      </w:r>
      <w:r>
        <w:rPr>
          <w:rFonts w:ascii="Times New Roman" w:eastAsia="Times New Roman" w:hAnsi="Times New Roman" w:cs="Times New Roman"/>
          <w:sz w:val="22"/>
          <w:szCs w:val="22"/>
        </w:rPr>
        <w:t>.</w:t>
      </w:r>
    </w:p>
    <w:p w14:paraId="1CE6392B"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Convención Americana sobre Derechos Humanos (CADH) (1969), aprobada mediante la Ley 16 de 1972, consagra en su artículo 26 el derecho que tienen todas las personas al desarrollo como un derecho económi</w:t>
      </w:r>
      <w:r>
        <w:rPr>
          <w:rFonts w:ascii="Times New Roman" w:eastAsia="Times New Roman" w:hAnsi="Times New Roman" w:cs="Times New Roman"/>
          <w:sz w:val="22"/>
          <w:szCs w:val="22"/>
        </w:rPr>
        <w:t>co, así:</w:t>
      </w:r>
    </w:p>
    <w:p w14:paraId="1CE6392C" w14:textId="77777777" w:rsidR="004D0443" w:rsidRDefault="00DA3067">
      <w:pPr>
        <w:spacing w:before="240" w:after="240" w:line="276" w:lineRule="auto"/>
        <w:ind w:left="566"/>
        <w:jc w:val="both"/>
        <w:rPr>
          <w:rFonts w:ascii="Times New Roman" w:eastAsia="Times New Roman" w:hAnsi="Times New Roman" w:cs="Times New Roman"/>
          <w:sz w:val="22"/>
          <w:szCs w:val="22"/>
        </w:rPr>
      </w:pPr>
      <w:r>
        <w:rPr>
          <w:rFonts w:ascii="Times New Roman" w:eastAsia="Times New Roman" w:hAnsi="Times New Roman" w:cs="Times New Roman"/>
          <w:i/>
          <w:sz w:val="22"/>
          <w:szCs w:val="22"/>
        </w:rPr>
        <w:t xml:space="preserve">“Artículo 26. Desarrollo Progresivo Los Estados partes se comprometen a adoptar providencias, tanto a nivel interno como mediante la cooperación internacional, especialmente </w:t>
      </w:r>
      <w:r>
        <w:rPr>
          <w:rFonts w:ascii="Times New Roman" w:eastAsia="Times New Roman" w:hAnsi="Times New Roman" w:cs="Times New Roman"/>
          <w:i/>
          <w:sz w:val="22"/>
          <w:szCs w:val="22"/>
        </w:rPr>
        <w:lastRenderedPageBreak/>
        <w:t xml:space="preserve">económica y técnica, para lograr progresivamente la plena efectividad de </w:t>
      </w:r>
      <w:r>
        <w:rPr>
          <w:rFonts w:ascii="Times New Roman" w:eastAsia="Times New Roman" w:hAnsi="Times New Roman" w:cs="Times New Roman"/>
          <w:i/>
          <w:sz w:val="22"/>
          <w:szCs w:val="22"/>
        </w:rPr>
        <w:t xml:space="preserve">los derechos que se derivan de las normas económicas, sociales y sobre educación, ciencia y cultura, contenidas en la Carta de la Organización de los Estados Americanos, reformada por el Protocolo de Buenos Aires, en la medida de los recursos disponibles, </w:t>
      </w:r>
      <w:r>
        <w:rPr>
          <w:rFonts w:ascii="Times New Roman" w:eastAsia="Times New Roman" w:hAnsi="Times New Roman" w:cs="Times New Roman"/>
          <w:i/>
          <w:sz w:val="22"/>
          <w:szCs w:val="22"/>
        </w:rPr>
        <w:t>por vía legislativa u otros medios apropiados</w:t>
      </w:r>
      <w:r>
        <w:rPr>
          <w:rFonts w:ascii="Times New Roman" w:eastAsia="Times New Roman" w:hAnsi="Times New Roman" w:cs="Times New Roman"/>
          <w:sz w:val="22"/>
          <w:szCs w:val="22"/>
        </w:rPr>
        <w:t>”</w:t>
      </w:r>
      <w:r>
        <w:rPr>
          <w:rFonts w:ascii="Times New Roman" w:eastAsia="Times New Roman" w:hAnsi="Times New Roman" w:cs="Times New Roman"/>
          <w:sz w:val="22"/>
          <w:szCs w:val="22"/>
          <w:vertAlign w:val="superscript"/>
        </w:rPr>
        <w:footnoteReference w:id="88"/>
      </w:r>
      <w:r>
        <w:rPr>
          <w:rFonts w:ascii="Times New Roman" w:eastAsia="Times New Roman" w:hAnsi="Times New Roman" w:cs="Times New Roman"/>
          <w:sz w:val="22"/>
          <w:szCs w:val="22"/>
        </w:rPr>
        <w:t xml:space="preserve">. </w:t>
      </w:r>
    </w:p>
    <w:p w14:paraId="1CE6392D" w14:textId="77777777" w:rsidR="004D0443" w:rsidRDefault="004D0443">
      <w:pPr>
        <w:spacing w:before="240" w:after="240" w:line="276" w:lineRule="auto"/>
        <w:jc w:val="both"/>
        <w:rPr>
          <w:rFonts w:ascii="Times New Roman" w:eastAsia="Times New Roman" w:hAnsi="Times New Roman" w:cs="Times New Roman"/>
          <w:sz w:val="22"/>
          <w:szCs w:val="22"/>
        </w:rPr>
      </w:pPr>
    </w:p>
    <w:p w14:paraId="1CE6392E" w14:textId="77777777" w:rsidR="004D0443" w:rsidRDefault="00DA3067">
      <w:pPr>
        <w:pBdr>
          <w:top w:val="nil"/>
          <w:left w:val="nil"/>
          <w:bottom w:val="nil"/>
          <w:right w:val="nil"/>
          <w:between w:val="nil"/>
        </w:pBdr>
        <w:spacing w:before="240" w:after="40" w:line="276" w:lineRule="auto"/>
        <w:jc w:val="both"/>
        <w:rPr>
          <w:rFonts w:ascii="Times New Roman" w:eastAsia="Times New Roman" w:hAnsi="Times New Roman" w:cs="Times New Roman"/>
          <w:b/>
          <w:color w:val="000000"/>
          <w:sz w:val="22"/>
          <w:szCs w:val="22"/>
        </w:rPr>
      </w:pPr>
      <w:bookmarkStart w:id="1" w:name="_heading=h.j61k38b8w3kn" w:colFirst="0" w:colLast="0"/>
      <w:bookmarkEnd w:id="1"/>
      <w:r>
        <w:rPr>
          <w:rFonts w:ascii="Times New Roman" w:eastAsia="Times New Roman" w:hAnsi="Times New Roman" w:cs="Times New Roman"/>
          <w:b/>
          <w:sz w:val="22"/>
          <w:szCs w:val="22"/>
        </w:rPr>
        <w:t>5</w:t>
      </w:r>
      <w:r>
        <w:rPr>
          <w:rFonts w:ascii="Times New Roman" w:eastAsia="Times New Roman" w:hAnsi="Times New Roman" w:cs="Times New Roman"/>
          <w:b/>
          <w:color w:val="000000"/>
          <w:sz w:val="22"/>
          <w:szCs w:val="22"/>
        </w:rPr>
        <w:t>.2. Constitución Política</w:t>
      </w:r>
    </w:p>
    <w:p w14:paraId="1CE6392F"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Constitución Política de Colombia de 1991 adopta el modelo de Estado Social de Derecho junto con la apertura a la economía de mercado. En virtud de lo anterior, en el marco de</w:t>
      </w:r>
      <w:r>
        <w:rPr>
          <w:rFonts w:ascii="Times New Roman" w:eastAsia="Times New Roman" w:hAnsi="Times New Roman" w:cs="Times New Roman"/>
          <w:sz w:val="22"/>
          <w:szCs w:val="22"/>
        </w:rPr>
        <w:t xml:space="preserve"> sus disposiciones se cuenta con una “</w:t>
      </w:r>
      <w:r>
        <w:rPr>
          <w:rFonts w:ascii="Times New Roman" w:eastAsia="Times New Roman" w:hAnsi="Times New Roman" w:cs="Times New Roman"/>
          <w:i/>
          <w:sz w:val="22"/>
          <w:szCs w:val="22"/>
        </w:rPr>
        <w:t>Constitución Económica</w:t>
      </w:r>
      <w:r>
        <w:rPr>
          <w:rFonts w:ascii="Times New Roman" w:eastAsia="Times New Roman" w:hAnsi="Times New Roman" w:cs="Times New Roman"/>
          <w:sz w:val="22"/>
          <w:szCs w:val="22"/>
        </w:rPr>
        <w:t xml:space="preserve">”. Dentro de ella se contempla el artículo 58 constitucional que reconoce la </w:t>
      </w:r>
      <w:r>
        <w:rPr>
          <w:rFonts w:ascii="Times New Roman" w:eastAsia="Times New Roman" w:hAnsi="Times New Roman" w:cs="Times New Roman"/>
          <w:i/>
          <w:sz w:val="22"/>
          <w:szCs w:val="22"/>
        </w:rPr>
        <w:t xml:space="preserve">propiedad privada </w:t>
      </w:r>
      <w:r>
        <w:rPr>
          <w:rFonts w:ascii="Times New Roman" w:eastAsia="Times New Roman" w:hAnsi="Times New Roman" w:cs="Times New Roman"/>
          <w:sz w:val="22"/>
          <w:szCs w:val="22"/>
        </w:rPr>
        <w:t>como un derecho que está sujeto al interés público y que no puede ser desconocido ni vulnerado por le</w:t>
      </w:r>
      <w:r>
        <w:rPr>
          <w:rFonts w:ascii="Times New Roman" w:eastAsia="Times New Roman" w:hAnsi="Times New Roman" w:cs="Times New Roman"/>
          <w:sz w:val="22"/>
          <w:szCs w:val="22"/>
        </w:rPr>
        <w:t>yes posteriores</w:t>
      </w:r>
    </w:p>
    <w:p w14:paraId="1CE63930"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Como también el artículo 333 establece que “la actividad económica y la iniciativa privada son libres, dentro de los límites del bien común”. Este principio permite que las startups operen en un ambiente de libre competencia, siempre que re</w:t>
      </w:r>
      <w:r>
        <w:rPr>
          <w:rFonts w:ascii="Times New Roman" w:eastAsia="Times New Roman" w:hAnsi="Times New Roman" w:cs="Times New Roman"/>
          <w:sz w:val="22"/>
          <w:szCs w:val="22"/>
        </w:rPr>
        <w:t>speten el bienestar colectivo (Asamblea Nacional Constituyente, 1991)</w:t>
      </w:r>
      <w:r>
        <w:rPr>
          <w:rFonts w:ascii="Times New Roman" w:eastAsia="Times New Roman" w:hAnsi="Times New Roman" w:cs="Times New Roman"/>
          <w:sz w:val="22"/>
          <w:szCs w:val="22"/>
          <w:vertAlign w:val="superscript"/>
        </w:rPr>
        <w:footnoteReference w:id="89"/>
      </w:r>
      <w:r>
        <w:rPr>
          <w:rFonts w:ascii="Times New Roman" w:eastAsia="Times New Roman" w:hAnsi="Times New Roman" w:cs="Times New Roman"/>
          <w:sz w:val="22"/>
          <w:szCs w:val="22"/>
        </w:rPr>
        <w:t>.</w:t>
      </w:r>
    </w:p>
    <w:p w14:paraId="1CE63931" w14:textId="77777777" w:rsidR="004D0443" w:rsidRDefault="00DA3067">
      <w:pPr>
        <w:spacing w:before="240" w:after="240" w:line="276" w:lineRule="auto"/>
        <w:ind w:left="72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w:t>
      </w:r>
      <w:r>
        <w:rPr>
          <w:rFonts w:ascii="Times New Roman" w:eastAsia="Times New Roman" w:hAnsi="Times New Roman" w:cs="Times New Roman"/>
          <w:i/>
          <w:sz w:val="22"/>
          <w:szCs w:val="22"/>
        </w:rPr>
        <w:t>Artículo 333. La actividad económica y la iniciativa privada son libres, dentro de los límites del bien común. Para su ejercicio, nadie podrá exigir permisos previos ni requisitos sin</w:t>
      </w:r>
      <w:r>
        <w:rPr>
          <w:rFonts w:ascii="Times New Roman" w:eastAsia="Times New Roman" w:hAnsi="Times New Roman" w:cs="Times New Roman"/>
          <w:i/>
          <w:sz w:val="22"/>
          <w:szCs w:val="22"/>
        </w:rPr>
        <w:t xml:space="preserve"> autorización de la ley. La libre competencia es un derecho de todos que supone responsabilidades. El Estado, por mandato de la ley, impedirá que se obstruya o se restrinja la libertad económica</w:t>
      </w:r>
      <w:r>
        <w:rPr>
          <w:rFonts w:ascii="Times New Roman" w:eastAsia="Times New Roman" w:hAnsi="Times New Roman" w:cs="Times New Roman"/>
          <w:sz w:val="22"/>
          <w:szCs w:val="22"/>
        </w:rPr>
        <w:t>” (Asamblea Nacional Constituyente, 1991)</w:t>
      </w:r>
      <w:r>
        <w:rPr>
          <w:rFonts w:ascii="Times New Roman" w:eastAsia="Times New Roman" w:hAnsi="Times New Roman" w:cs="Times New Roman"/>
          <w:sz w:val="22"/>
          <w:szCs w:val="22"/>
          <w:vertAlign w:val="superscript"/>
        </w:rPr>
        <w:footnoteReference w:id="90"/>
      </w:r>
      <w:r>
        <w:rPr>
          <w:rFonts w:ascii="Times New Roman" w:eastAsia="Times New Roman" w:hAnsi="Times New Roman" w:cs="Times New Roman"/>
          <w:sz w:val="22"/>
          <w:szCs w:val="22"/>
        </w:rPr>
        <w:t>.</w:t>
      </w:r>
    </w:p>
    <w:p w14:paraId="1CE63932"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A su vez, el artíc</w:t>
      </w:r>
      <w:r>
        <w:rPr>
          <w:rFonts w:ascii="Times New Roman" w:eastAsia="Times New Roman" w:hAnsi="Times New Roman" w:cs="Times New Roman"/>
          <w:sz w:val="22"/>
          <w:szCs w:val="22"/>
        </w:rPr>
        <w:t>ulo referenciado en su inciso 3 estipula que la empresa, como base del desarrollo, tiene una función social que implica obligaciones y el Estado tiene la obligación de estimular el desarrollo empresarial</w:t>
      </w:r>
      <w:r>
        <w:rPr>
          <w:rFonts w:ascii="Times New Roman" w:eastAsia="Times New Roman" w:hAnsi="Times New Roman" w:cs="Times New Roman"/>
          <w:sz w:val="22"/>
          <w:szCs w:val="22"/>
          <w:vertAlign w:val="superscript"/>
        </w:rPr>
        <w:footnoteReference w:id="91"/>
      </w:r>
      <w:r>
        <w:rPr>
          <w:rFonts w:ascii="Times New Roman" w:eastAsia="Times New Roman" w:hAnsi="Times New Roman" w:cs="Times New Roman"/>
          <w:sz w:val="22"/>
          <w:szCs w:val="22"/>
        </w:rPr>
        <w:t>.</w:t>
      </w:r>
    </w:p>
    <w:p w14:paraId="1CE63933" w14:textId="77777777" w:rsidR="004D0443" w:rsidRDefault="00DA3067">
      <w:pPr>
        <w:pBdr>
          <w:top w:val="nil"/>
          <w:left w:val="nil"/>
          <w:bottom w:val="nil"/>
          <w:right w:val="nil"/>
          <w:between w:val="nil"/>
        </w:pBdr>
        <w:spacing w:before="240" w:after="40" w:line="276" w:lineRule="auto"/>
        <w:jc w:val="both"/>
        <w:rPr>
          <w:rFonts w:ascii="Times New Roman" w:eastAsia="Times New Roman" w:hAnsi="Times New Roman" w:cs="Times New Roman"/>
          <w:b/>
          <w:color w:val="000000"/>
          <w:sz w:val="22"/>
          <w:szCs w:val="22"/>
        </w:rPr>
      </w:pPr>
      <w:bookmarkStart w:id="2" w:name="_heading=h.fppe9y2e3yjh" w:colFirst="0" w:colLast="0"/>
      <w:bookmarkEnd w:id="2"/>
      <w:r>
        <w:rPr>
          <w:rFonts w:ascii="Times New Roman" w:eastAsia="Times New Roman" w:hAnsi="Times New Roman" w:cs="Times New Roman"/>
          <w:b/>
          <w:sz w:val="22"/>
          <w:szCs w:val="22"/>
        </w:rPr>
        <w:t>5</w:t>
      </w:r>
      <w:r>
        <w:rPr>
          <w:rFonts w:ascii="Times New Roman" w:eastAsia="Times New Roman" w:hAnsi="Times New Roman" w:cs="Times New Roman"/>
          <w:b/>
          <w:color w:val="000000"/>
          <w:sz w:val="22"/>
          <w:szCs w:val="22"/>
        </w:rPr>
        <w:t xml:space="preserve">.3. Normas </w:t>
      </w:r>
      <w:r>
        <w:rPr>
          <w:rFonts w:ascii="Times New Roman" w:eastAsia="Times New Roman" w:hAnsi="Times New Roman" w:cs="Times New Roman"/>
          <w:b/>
          <w:sz w:val="22"/>
          <w:szCs w:val="22"/>
        </w:rPr>
        <w:t>l</w:t>
      </w:r>
      <w:r>
        <w:rPr>
          <w:rFonts w:ascii="Times New Roman" w:eastAsia="Times New Roman" w:hAnsi="Times New Roman" w:cs="Times New Roman"/>
          <w:b/>
          <w:color w:val="000000"/>
          <w:sz w:val="22"/>
          <w:szCs w:val="22"/>
        </w:rPr>
        <w:t>egales</w:t>
      </w:r>
    </w:p>
    <w:p w14:paraId="1CE63934" w14:textId="77777777" w:rsidR="004D0443" w:rsidRDefault="00DA3067">
      <w:pPr>
        <w:pBdr>
          <w:top w:val="nil"/>
          <w:left w:val="nil"/>
          <w:bottom w:val="nil"/>
          <w:right w:val="nil"/>
          <w:between w:val="nil"/>
        </w:pBdr>
        <w:spacing w:before="240" w:after="40" w:line="276" w:lineRule="auto"/>
        <w:jc w:val="both"/>
        <w:rPr>
          <w:rFonts w:ascii="Times New Roman" w:eastAsia="Times New Roman" w:hAnsi="Times New Roman" w:cs="Times New Roman"/>
          <w:sz w:val="22"/>
          <w:szCs w:val="22"/>
        </w:rPr>
      </w:pPr>
      <w:bookmarkStart w:id="3" w:name="_heading=h.i60kf8bzuy0b" w:colFirst="0" w:colLast="0"/>
      <w:bookmarkEnd w:id="3"/>
      <w:r>
        <w:rPr>
          <w:rFonts w:ascii="Times New Roman" w:eastAsia="Times New Roman" w:hAnsi="Times New Roman" w:cs="Times New Roman"/>
          <w:sz w:val="22"/>
          <w:szCs w:val="22"/>
        </w:rPr>
        <w:t>En primer lugar, la Ley 590 de</w:t>
      </w:r>
      <w:r>
        <w:rPr>
          <w:rFonts w:ascii="Times New Roman" w:eastAsia="Times New Roman" w:hAnsi="Times New Roman" w:cs="Times New Roman"/>
          <w:sz w:val="22"/>
          <w:szCs w:val="22"/>
        </w:rPr>
        <w:t xml:space="preserve"> 2000 estipula en su artículo 14 la obligación de las entidades territoriales de organizar espacios y actividades para la promoción de las mipymes en su jurisdicción:</w:t>
      </w:r>
    </w:p>
    <w:p w14:paraId="1CE63935" w14:textId="77777777" w:rsidR="004D0443" w:rsidRDefault="00DA3067">
      <w:pPr>
        <w:pBdr>
          <w:top w:val="nil"/>
          <w:left w:val="nil"/>
          <w:bottom w:val="nil"/>
          <w:right w:val="nil"/>
          <w:between w:val="nil"/>
        </w:pBdr>
        <w:spacing w:before="240" w:after="40" w:line="276" w:lineRule="auto"/>
        <w:ind w:left="566"/>
        <w:jc w:val="both"/>
        <w:rPr>
          <w:rFonts w:ascii="Times New Roman" w:eastAsia="Times New Roman" w:hAnsi="Times New Roman" w:cs="Times New Roman"/>
          <w:i/>
          <w:sz w:val="22"/>
          <w:szCs w:val="22"/>
        </w:rPr>
      </w:pPr>
      <w:bookmarkStart w:id="4" w:name="_heading=h.lhk1ia77xjl4" w:colFirst="0" w:colLast="0"/>
      <w:bookmarkEnd w:id="4"/>
      <w:r>
        <w:rPr>
          <w:rFonts w:ascii="Times New Roman" w:eastAsia="Times New Roman" w:hAnsi="Times New Roman" w:cs="Times New Roman"/>
          <w:i/>
          <w:sz w:val="22"/>
          <w:szCs w:val="22"/>
        </w:rPr>
        <w:t>“Artículo 14. Promoción. Las entidades públicas del orden nacional y regional competentes, los departamentos, municipios y distritos promoverán coordinadamente, la organización de ferias locales y nacionales, la conformación de centros de exhibición e info</w:t>
      </w:r>
      <w:r>
        <w:rPr>
          <w:rFonts w:ascii="Times New Roman" w:eastAsia="Times New Roman" w:hAnsi="Times New Roman" w:cs="Times New Roman"/>
          <w:i/>
          <w:sz w:val="22"/>
          <w:szCs w:val="22"/>
        </w:rPr>
        <w:t>rmación permanentes, y otras actividades similares para dinamizar mercados en beneficio de las Mipymes (...)”</w:t>
      </w:r>
      <w:r>
        <w:rPr>
          <w:rFonts w:ascii="Times New Roman" w:eastAsia="Times New Roman" w:hAnsi="Times New Roman" w:cs="Times New Roman"/>
          <w:i/>
          <w:sz w:val="22"/>
          <w:szCs w:val="22"/>
          <w:vertAlign w:val="superscript"/>
        </w:rPr>
        <w:footnoteReference w:id="92"/>
      </w:r>
      <w:r>
        <w:rPr>
          <w:rFonts w:ascii="Times New Roman" w:eastAsia="Times New Roman" w:hAnsi="Times New Roman" w:cs="Times New Roman"/>
          <w:i/>
          <w:sz w:val="22"/>
          <w:szCs w:val="22"/>
        </w:rPr>
        <w:t xml:space="preserve">. </w:t>
      </w:r>
    </w:p>
    <w:p w14:paraId="1CE63936" w14:textId="77777777" w:rsidR="004D0443" w:rsidRDefault="00DA3067">
      <w:pPr>
        <w:pBdr>
          <w:top w:val="nil"/>
          <w:left w:val="nil"/>
          <w:bottom w:val="nil"/>
          <w:right w:val="nil"/>
          <w:between w:val="nil"/>
        </w:pBdr>
        <w:spacing w:before="240" w:after="40" w:line="276" w:lineRule="auto"/>
        <w:jc w:val="both"/>
        <w:rPr>
          <w:rFonts w:ascii="Times New Roman" w:eastAsia="Times New Roman" w:hAnsi="Times New Roman" w:cs="Times New Roman"/>
          <w:sz w:val="22"/>
          <w:szCs w:val="22"/>
        </w:rPr>
      </w:pPr>
      <w:bookmarkStart w:id="5" w:name="_heading=h.kyh09pe9zbo7" w:colFirst="0" w:colLast="0"/>
      <w:bookmarkEnd w:id="5"/>
      <w:r>
        <w:rPr>
          <w:rFonts w:ascii="Times New Roman" w:eastAsia="Times New Roman" w:hAnsi="Times New Roman" w:cs="Times New Roman"/>
          <w:sz w:val="22"/>
          <w:szCs w:val="22"/>
        </w:rPr>
        <w:t xml:space="preserve">En segundo lugar, la Ley 1014 de 2006 estipula diferentes medidas para el fomento del emprendimiento en el país. En particular, en su artículo </w:t>
      </w:r>
      <w:r>
        <w:rPr>
          <w:rFonts w:ascii="Times New Roman" w:eastAsia="Times New Roman" w:hAnsi="Times New Roman" w:cs="Times New Roman"/>
          <w:sz w:val="22"/>
          <w:szCs w:val="22"/>
        </w:rPr>
        <w:t>13 establece la enseñanza obligatoria en materia de emprendimiento en los colegios, en los siguientes términos:</w:t>
      </w:r>
    </w:p>
    <w:p w14:paraId="1CE63937" w14:textId="77777777" w:rsidR="004D0443" w:rsidRDefault="00DA3067">
      <w:pPr>
        <w:pBdr>
          <w:top w:val="nil"/>
          <w:left w:val="nil"/>
          <w:bottom w:val="nil"/>
          <w:right w:val="nil"/>
          <w:between w:val="nil"/>
        </w:pBdr>
        <w:spacing w:before="240" w:after="40" w:line="276" w:lineRule="auto"/>
        <w:ind w:left="566"/>
        <w:jc w:val="both"/>
        <w:rPr>
          <w:rFonts w:ascii="Times New Roman" w:eastAsia="Times New Roman" w:hAnsi="Times New Roman" w:cs="Times New Roman"/>
          <w:i/>
          <w:sz w:val="22"/>
          <w:szCs w:val="22"/>
        </w:rPr>
      </w:pPr>
      <w:bookmarkStart w:id="6" w:name="_heading=h.5xt8o29eded3" w:colFirst="0" w:colLast="0"/>
      <w:bookmarkEnd w:id="6"/>
      <w:r>
        <w:rPr>
          <w:rFonts w:ascii="Times New Roman" w:eastAsia="Times New Roman" w:hAnsi="Times New Roman" w:cs="Times New Roman"/>
          <w:i/>
          <w:sz w:val="22"/>
          <w:szCs w:val="22"/>
        </w:rPr>
        <w:t>“Artículo 13. Enseñanza obligatoria. En todos los establecimientos oficiales o privados que ofrezcan educación formal es obligatorio en los nive</w:t>
      </w:r>
      <w:r>
        <w:rPr>
          <w:rFonts w:ascii="Times New Roman" w:eastAsia="Times New Roman" w:hAnsi="Times New Roman" w:cs="Times New Roman"/>
          <w:i/>
          <w:sz w:val="22"/>
          <w:szCs w:val="22"/>
        </w:rPr>
        <w:t xml:space="preserve">les de la educación preescolar, educación básica, educación básica primaria, educación básica secundaria, y la educación media, cumplir con: </w:t>
      </w:r>
    </w:p>
    <w:p w14:paraId="1CE63938" w14:textId="77777777" w:rsidR="004D0443" w:rsidRDefault="00DA3067">
      <w:pPr>
        <w:pBdr>
          <w:top w:val="nil"/>
          <w:left w:val="nil"/>
          <w:bottom w:val="nil"/>
          <w:right w:val="nil"/>
          <w:between w:val="nil"/>
        </w:pBdr>
        <w:spacing w:before="240" w:after="40" w:line="276" w:lineRule="auto"/>
        <w:ind w:left="566"/>
        <w:jc w:val="both"/>
        <w:rPr>
          <w:rFonts w:ascii="Times New Roman" w:eastAsia="Times New Roman" w:hAnsi="Times New Roman" w:cs="Times New Roman"/>
          <w:i/>
          <w:sz w:val="22"/>
          <w:szCs w:val="22"/>
        </w:rPr>
      </w:pPr>
      <w:bookmarkStart w:id="7" w:name="_heading=h.y10q3a5h62k8" w:colFirst="0" w:colLast="0"/>
      <w:bookmarkEnd w:id="7"/>
      <w:r>
        <w:rPr>
          <w:rFonts w:ascii="Times New Roman" w:eastAsia="Times New Roman" w:hAnsi="Times New Roman" w:cs="Times New Roman"/>
          <w:i/>
          <w:sz w:val="22"/>
          <w:szCs w:val="22"/>
        </w:rPr>
        <w:t xml:space="preserve">1. Definición de un área específica de formación para el emprendimiento y la generación de empresas, la cual debe </w:t>
      </w:r>
      <w:r>
        <w:rPr>
          <w:rFonts w:ascii="Times New Roman" w:eastAsia="Times New Roman" w:hAnsi="Times New Roman" w:cs="Times New Roman"/>
          <w:i/>
          <w:sz w:val="22"/>
          <w:szCs w:val="22"/>
        </w:rPr>
        <w:t xml:space="preserve">incorporarse al currículo y desarrollarse a través de todo el plan de estudios. </w:t>
      </w:r>
    </w:p>
    <w:p w14:paraId="1CE63939" w14:textId="77777777" w:rsidR="004D0443" w:rsidRDefault="00DA3067">
      <w:pPr>
        <w:pBdr>
          <w:top w:val="nil"/>
          <w:left w:val="nil"/>
          <w:bottom w:val="nil"/>
          <w:right w:val="nil"/>
          <w:between w:val="nil"/>
        </w:pBdr>
        <w:spacing w:before="240" w:after="40" w:line="276" w:lineRule="auto"/>
        <w:ind w:left="566"/>
        <w:jc w:val="both"/>
        <w:rPr>
          <w:rFonts w:ascii="Times New Roman" w:eastAsia="Times New Roman" w:hAnsi="Times New Roman" w:cs="Times New Roman"/>
          <w:i/>
          <w:sz w:val="22"/>
          <w:szCs w:val="22"/>
        </w:rPr>
      </w:pPr>
      <w:bookmarkStart w:id="8" w:name="_heading=h.cb4fh3b71j3o" w:colFirst="0" w:colLast="0"/>
      <w:bookmarkEnd w:id="8"/>
      <w:r>
        <w:rPr>
          <w:rFonts w:ascii="Times New Roman" w:eastAsia="Times New Roman" w:hAnsi="Times New Roman" w:cs="Times New Roman"/>
          <w:i/>
          <w:sz w:val="22"/>
          <w:szCs w:val="22"/>
        </w:rPr>
        <w:t>2. Transmitir en todos los niveles escolares conocimiento, formar actitud favorable al emprendimiento, la innovación y la creatividad y desarrollar competencias para generar e</w:t>
      </w:r>
      <w:r>
        <w:rPr>
          <w:rFonts w:ascii="Times New Roman" w:eastAsia="Times New Roman" w:hAnsi="Times New Roman" w:cs="Times New Roman"/>
          <w:i/>
          <w:sz w:val="22"/>
          <w:szCs w:val="22"/>
        </w:rPr>
        <w:t xml:space="preserve">mpresas. </w:t>
      </w:r>
    </w:p>
    <w:p w14:paraId="1CE6393A" w14:textId="77777777" w:rsidR="004D0443" w:rsidRDefault="00DA3067">
      <w:pPr>
        <w:pBdr>
          <w:top w:val="nil"/>
          <w:left w:val="nil"/>
          <w:bottom w:val="nil"/>
          <w:right w:val="nil"/>
          <w:between w:val="nil"/>
        </w:pBdr>
        <w:spacing w:before="240" w:after="40" w:line="276" w:lineRule="auto"/>
        <w:ind w:left="566"/>
        <w:jc w:val="both"/>
        <w:rPr>
          <w:rFonts w:ascii="Times New Roman" w:eastAsia="Times New Roman" w:hAnsi="Times New Roman" w:cs="Times New Roman"/>
          <w:i/>
          <w:sz w:val="22"/>
          <w:szCs w:val="22"/>
        </w:rPr>
      </w:pPr>
      <w:bookmarkStart w:id="9" w:name="_heading=h.973m63wbxbns" w:colFirst="0" w:colLast="0"/>
      <w:bookmarkEnd w:id="9"/>
      <w:r>
        <w:rPr>
          <w:rFonts w:ascii="Times New Roman" w:eastAsia="Times New Roman" w:hAnsi="Times New Roman" w:cs="Times New Roman"/>
          <w:i/>
          <w:sz w:val="22"/>
          <w:szCs w:val="22"/>
        </w:rPr>
        <w:t xml:space="preserve">3. Diseñar y divulgar módulos específicos sobre temas empresariales denominados "Cátedra Empresarial" que constituyan un soporte fundamental de los programas educativos de la </w:t>
      </w:r>
      <w:r>
        <w:rPr>
          <w:rFonts w:ascii="Times New Roman" w:eastAsia="Times New Roman" w:hAnsi="Times New Roman" w:cs="Times New Roman"/>
          <w:i/>
          <w:sz w:val="22"/>
          <w:szCs w:val="22"/>
        </w:rPr>
        <w:lastRenderedPageBreak/>
        <w:t>enseñanza preescolar, educación básica, educación básica primaria, educ</w:t>
      </w:r>
      <w:r>
        <w:rPr>
          <w:rFonts w:ascii="Times New Roman" w:eastAsia="Times New Roman" w:hAnsi="Times New Roman" w:cs="Times New Roman"/>
          <w:i/>
          <w:sz w:val="22"/>
          <w:szCs w:val="22"/>
        </w:rPr>
        <w:t xml:space="preserve">ación básica secundaria, y la educación media, con el fin de capacitar al estudiante en el desarrollo de capacidades emprendedoras para generar empresas con una visión clara de su entorno que le permita asumir retos y responsabilidades. </w:t>
      </w:r>
    </w:p>
    <w:p w14:paraId="1CE6393B" w14:textId="77777777" w:rsidR="004D0443" w:rsidRDefault="00DA3067">
      <w:pPr>
        <w:pBdr>
          <w:top w:val="nil"/>
          <w:left w:val="nil"/>
          <w:bottom w:val="nil"/>
          <w:right w:val="nil"/>
          <w:between w:val="nil"/>
        </w:pBdr>
        <w:spacing w:before="240" w:after="40" w:line="276" w:lineRule="auto"/>
        <w:ind w:left="566"/>
        <w:jc w:val="both"/>
        <w:rPr>
          <w:rFonts w:ascii="Times New Roman" w:eastAsia="Times New Roman" w:hAnsi="Times New Roman" w:cs="Times New Roman"/>
          <w:sz w:val="22"/>
          <w:szCs w:val="22"/>
        </w:rPr>
      </w:pPr>
      <w:bookmarkStart w:id="10" w:name="_heading=h.mdaed7lbi3qy" w:colFirst="0" w:colLast="0"/>
      <w:bookmarkEnd w:id="10"/>
      <w:r>
        <w:rPr>
          <w:rFonts w:ascii="Times New Roman" w:eastAsia="Times New Roman" w:hAnsi="Times New Roman" w:cs="Times New Roman"/>
          <w:i/>
          <w:sz w:val="22"/>
          <w:szCs w:val="22"/>
        </w:rPr>
        <w:t>4. Promover activi</w:t>
      </w:r>
      <w:r>
        <w:rPr>
          <w:rFonts w:ascii="Times New Roman" w:eastAsia="Times New Roman" w:hAnsi="Times New Roman" w:cs="Times New Roman"/>
          <w:i/>
          <w:sz w:val="22"/>
          <w:szCs w:val="22"/>
        </w:rPr>
        <w:t>dades como ferias empresariales, foros, seminarios, macrorruedas de negocios, concursos y demás actividades orientadas a la promoción de la cultura para el emprendimiento de acuerdo a los parámetros establecidos en esta ley y con el apoyo de las Asociacion</w:t>
      </w:r>
      <w:r>
        <w:rPr>
          <w:rFonts w:ascii="Times New Roman" w:eastAsia="Times New Roman" w:hAnsi="Times New Roman" w:cs="Times New Roman"/>
          <w:i/>
          <w:sz w:val="22"/>
          <w:szCs w:val="22"/>
        </w:rPr>
        <w:t>es de Padres de Familia”</w:t>
      </w:r>
      <w:r>
        <w:rPr>
          <w:rFonts w:ascii="Times New Roman" w:eastAsia="Times New Roman" w:hAnsi="Times New Roman" w:cs="Times New Roman"/>
          <w:i/>
          <w:sz w:val="22"/>
          <w:szCs w:val="22"/>
          <w:vertAlign w:val="superscript"/>
        </w:rPr>
        <w:footnoteReference w:id="93"/>
      </w:r>
      <w:r>
        <w:rPr>
          <w:rFonts w:ascii="Times New Roman" w:eastAsia="Times New Roman" w:hAnsi="Times New Roman" w:cs="Times New Roman"/>
          <w:i/>
          <w:sz w:val="22"/>
          <w:szCs w:val="22"/>
        </w:rPr>
        <w:t xml:space="preserve">. </w:t>
      </w:r>
    </w:p>
    <w:p w14:paraId="1CE6393C"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tercer lugar, la Ley 2069 de 2020, conocida como la “Ley de Emprendimiento”, es una de las normas jurídicas más importantes en materia de emprendimiento en el país, estableciendo un marco de incentivos y simplificación de trá</w:t>
      </w:r>
      <w:r>
        <w:rPr>
          <w:rFonts w:ascii="Times New Roman" w:eastAsia="Times New Roman" w:hAnsi="Times New Roman" w:cs="Times New Roman"/>
          <w:sz w:val="22"/>
          <w:szCs w:val="22"/>
        </w:rPr>
        <w:t>mites para la creación de nuevas empresas. En su artículo 5 consagra un mecanismo exploratorio de regulación para modelos de negocio innovadores en industrias reguladas (Sandbox), el cual es sumamente importante para las startups:</w:t>
      </w:r>
    </w:p>
    <w:p w14:paraId="1CE6393D" w14:textId="77777777" w:rsidR="004D0443" w:rsidRDefault="00DA3067">
      <w:pPr>
        <w:spacing w:before="240" w:after="240" w:line="276" w:lineRule="auto"/>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“ARTÍCULO 5. MECANISMO EX</w:t>
      </w:r>
      <w:r>
        <w:rPr>
          <w:rFonts w:ascii="Times New Roman" w:eastAsia="Times New Roman" w:hAnsi="Times New Roman" w:cs="Times New Roman"/>
          <w:i/>
          <w:sz w:val="22"/>
          <w:szCs w:val="22"/>
        </w:rPr>
        <w:t>PLORATORIO DE REGULACIÓN PARA MODELOS DE NEGOCIO INNOVADORES EN INDUSTRIAS REGULADAS (SANDBOX). El gobierno nacional, en un plazo no mayor de un (1) año posterior a la promulgación de esta ley, deberá establecer una regulación complementaria que permita, e</w:t>
      </w:r>
      <w:r>
        <w:rPr>
          <w:rFonts w:ascii="Times New Roman" w:eastAsia="Times New Roman" w:hAnsi="Times New Roman" w:cs="Times New Roman"/>
          <w:i/>
          <w:sz w:val="22"/>
          <w:szCs w:val="22"/>
        </w:rPr>
        <w:t>n cada uno de los Ministerios y Sectores Administrativos, crear un ambiente especial de vigilancia y control, que facilite el desarrollo de modelos de negocio que apalanquen e impulsen la economía de alto valor agregado y sostenible en distintos ámbitos, a</w:t>
      </w:r>
      <w:r>
        <w:rPr>
          <w:rFonts w:ascii="Times New Roman" w:eastAsia="Times New Roman" w:hAnsi="Times New Roman" w:cs="Times New Roman"/>
          <w:i/>
          <w:sz w:val="22"/>
          <w:szCs w:val="22"/>
        </w:rPr>
        <w:t xml:space="preserve"> partir de la promoción de actividades intensivas en tecnología, innovación, uso sostenible del capital natural y/o tendientes a la mitigación de la acción climática. Estos ambientes de prueba evaluarán el funcionamiento y los efectos de nuevas tecnologías</w:t>
      </w:r>
      <w:r>
        <w:rPr>
          <w:rFonts w:ascii="Times New Roman" w:eastAsia="Times New Roman" w:hAnsi="Times New Roman" w:cs="Times New Roman"/>
          <w:i/>
          <w:sz w:val="22"/>
          <w:szCs w:val="22"/>
        </w:rPr>
        <w:t xml:space="preserve"> o innovaciones en la regulación vigente, para determinar la viabilidad de su implementación y/o la necesidad de establecer una flexibilización del marco regulatorio existente o la simplificación de los trámites”</w:t>
      </w:r>
      <w:r>
        <w:rPr>
          <w:rFonts w:ascii="Times New Roman" w:eastAsia="Times New Roman" w:hAnsi="Times New Roman" w:cs="Times New Roman"/>
          <w:i/>
          <w:sz w:val="22"/>
          <w:szCs w:val="22"/>
          <w:vertAlign w:val="superscript"/>
        </w:rPr>
        <w:footnoteReference w:id="94"/>
      </w:r>
      <w:r>
        <w:rPr>
          <w:rFonts w:ascii="Times New Roman" w:eastAsia="Times New Roman" w:hAnsi="Times New Roman" w:cs="Times New Roman"/>
          <w:i/>
          <w:sz w:val="22"/>
          <w:szCs w:val="22"/>
        </w:rPr>
        <w:t>.</w:t>
      </w:r>
    </w:p>
    <w:p w14:paraId="1CE6393E"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En su artículo 63 autoriza a los municipi</w:t>
      </w:r>
      <w:r>
        <w:rPr>
          <w:rFonts w:ascii="Times New Roman" w:eastAsia="Times New Roman" w:hAnsi="Times New Roman" w:cs="Times New Roman"/>
          <w:sz w:val="22"/>
          <w:szCs w:val="22"/>
        </w:rPr>
        <w:t>os a crear Fondos Territoriales temporales para el desarrollo integral y la reactivación económica de las empresas y emprendimientos. En su artículo 74 establece la posibilidad de que las Secretarías de Educación celebren convenios con el Servicio Nacional</w:t>
      </w:r>
      <w:r>
        <w:rPr>
          <w:rFonts w:ascii="Times New Roman" w:eastAsia="Times New Roman" w:hAnsi="Times New Roman" w:cs="Times New Roman"/>
          <w:sz w:val="22"/>
          <w:szCs w:val="22"/>
        </w:rPr>
        <w:t xml:space="preserve"> de Aprendizaje (SENA) para ofrecer programas de doble titulación técnico bachiller de formación para el trabajo, el emprendimiento y la innovación.</w:t>
      </w:r>
    </w:p>
    <w:p w14:paraId="1CE6393F" w14:textId="77777777" w:rsidR="004D0443" w:rsidRDefault="00DA3067">
      <w:pPr>
        <w:pBdr>
          <w:top w:val="nil"/>
          <w:left w:val="nil"/>
          <w:bottom w:val="nil"/>
          <w:right w:val="nil"/>
          <w:between w:val="nil"/>
        </w:pBdr>
        <w:spacing w:before="240" w:after="40" w:line="276" w:lineRule="auto"/>
        <w:jc w:val="both"/>
        <w:rPr>
          <w:rFonts w:ascii="Times New Roman" w:eastAsia="Times New Roman" w:hAnsi="Times New Roman" w:cs="Times New Roman"/>
          <w:b/>
          <w:color w:val="000000"/>
          <w:sz w:val="22"/>
          <w:szCs w:val="22"/>
        </w:rPr>
      </w:pPr>
      <w:bookmarkStart w:id="11" w:name="_heading=h.mxb7c9og5mll" w:colFirst="0" w:colLast="0"/>
      <w:bookmarkEnd w:id="11"/>
      <w:r>
        <w:rPr>
          <w:rFonts w:ascii="Times New Roman" w:eastAsia="Times New Roman" w:hAnsi="Times New Roman" w:cs="Times New Roman"/>
          <w:b/>
          <w:sz w:val="22"/>
          <w:szCs w:val="22"/>
        </w:rPr>
        <w:t>5</w:t>
      </w:r>
      <w:r>
        <w:rPr>
          <w:rFonts w:ascii="Times New Roman" w:eastAsia="Times New Roman" w:hAnsi="Times New Roman" w:cs="Times New Roman"/>
          <w:b/>
          <w:color w:val="000000"/>
          <w:sz w:val="22"/>
          <w:szCs w:val="22"/>
        </w:rPr>
        <w:t xml:space="preserve">.4. Normas </w:t>
      </w:r>
      <w:r>
        <w:rPr>
          <w:rFonts w:ascii="Times New Roman" w:eastAsia="Times New Roman" w:hAnsi="Times New Roman" w:cs="Times New Roman"/>
          <w:b/>
          <w:sz w:val="22"/>
          <w:szCs w:val="22"/>
        </w:rPr>
        <w:t>de rango reglamentario</w:t>
      </w:r>
    </w:p>
    <w:p w14:paraId="1CE63940"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Decreto 1234 de 2020, conocido como el Sandbox Regulatorio, permite q</w:t>
      </w:r>
      <w:r>
        <w:rPr>
          <w:rFonts w:ascii="Times New Roman" w:eastAsia="Times New Roman" w:hAnsi="Times New Roman" w:cs="Times New Roman"/>
          <w:sz w:val="22"/>
          <w:szCs w:val="22"/>
        </w:rPr>
        <w:t xml:space="preserve">ue las startups en sectores como </w:t>
      </w:r>
      <w:r>
        <w:rPr>
          <w:rFonts w:ascii="Times New Roman" w:eastAsia="Times New Roman" w:hAnsi="Times New Roman" w:cs="Times New Roman"/>
          <w:i/>
          <w:sz w:val="22"/>
          <w:szCs w:val="22"/>
        </w:rPr>
        <w:t>FinTech</w:t>
      </w:r>
      <w:r>
        <w:rPr>
          <w:rFonts w:ascii="Times New Roman" w:eastAsia="Times New Roman" w:hAnsi="Times New Roman" w:cs="Times New Roman"/>
          <w:sz w:val="22"/>
          <w:szCs w:val="22"/>
        </w:rPr>
        <w:t xml:space="preserve"> prueben productos financieros innovadores bajo la supervisión de la Superintendencia Financiera de Colombia, fomentando así la creación de soluciones tecnológicas disruptivas sin incurrir en riesgos regulatorios exc</w:t>
      </w:r>
      <w:r>
        <w:rPr>
          <w:rFonts w:ascii="Times New Roman" w:eastAsia="Times New Roman" w:hAnsi="Times New Roman" w:cs="Times New Roman"/>
          <w:sz w:val="22"/>
          <w:szCs w:val="22"/>
        </w:rPr>
        <w:t>esivos (Presidencia de la República, 2020)</w:t>
      </w:r>
      <w:r>
        <w:rPr>
          <w:rFonts w:ascii="Times New Roman" w:eastAsia="Times New Roman" w:hAnsi="Times New Roman" w:cs="Times New Roman"/>
          <w:sz w:val="22"/>
          <w:szCs w:val="22"/>
          <w:vertAlign w:val="superscript"/>
        </w:rPr>
        <w:footnoteReference w:id="95"/>
      </w:r>
      <w:r>
        <w:rPr>
          <w:rFonts w:ascii="Times New Roman" w:eastAsia="Times New Roman" w:hAnsi="Times New Roman" w:cs="Times New Roman"/>
          <w:sz w:val="22"/>
          <w:szCs w:val="22"/>
        </w:rPr>
        <w:t>.</w:t>
      </w:r>
    </w:p>
    <w:p w14:paraId="1CE63941" w14:textId="77777777" w:rsidR="004D0443" w:rsidRDefault="00DA3067">
      <w:pPr>
        <w:spacing w:before="240" w:after="240" w:line="276" w:lineRule="auto"/>
        <w:ind w:left="72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“Artículo 2. Las entidades vigiladas por la Superintendencia Financiera podrán participar en el Sandbox regulatorio, donde podrán probar nuevos productos y servicios financieros bajo un ambiente controlado. Las pruebas estarán bajo supervisión directa para</w:t>
      </w:r>
      <w:r>
        <w:rPr>
          <w:rFonts w:ascii="Times New Roman" w:eastAsia="Times New Roman" w:hAnsi="Times New Roman" w:cs="Times New Roman"/>
          <w:sz w:val="22"/>
          <w:szCs w:val="22"/>
        </w:rPr>
        <w:t xml:space="preserve"> evaluar la viabilidad regulatoria de dichos productos” (Presidencia de la República, 2020)</w:t>
      </w:r>
      <w:r>
        <w:rPr>
          <w:rFonts w:ascii="Times New Roman" w:eastAsia="Times New Roman" w:hAnsi="Times New Roman" w:cs="Times New Roman"/>
          <w:sz w:val="22"/>
          <w:szCs w:val="22"/>
          <w:vertAlign w:val="superscript"/>
        </w:rPr>
        <w:footnoteReference w:id="96"/>
      </w:r>
      <w:r>
        <w:rPr>
          <w:rFonts w:ascii="Times New Roman" w:eastAsia="Times New Roman" w:hAnsi="Times New Roman" w:cs="Times New Roman"/>
          <w:sz w:val="22"/>
          <w:szCs w:val="22"/>
        </w:rPr>
        <w:t>.</w:t>
      </w:r>
    </w:p>
    <w:p w14:paraId="1CE63942" w14:textId="77777777" w:rsidR="004D0443" w:rsidRDefault="00DA3067">
      <w:pPr>
        <w:spacing w:before="240" w:after="240" w:line="276"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Por su parte, a nivel distrital el Acuerdo 819 de 2021 fomenta el emprendimiento de mujeres</w:t>
      </w:r>
      <w:r>
        <w:rPr>
          <w:rFonts w:ascii="Times New Roman" w:eastAsia="Times New Roman" w:hAnsi="Times New Roman" w:cs="Times New Roman"/>
          <w:sz w:val="22"/>
          <w:szCs w:val="22"/>
          <w:vertAlign w:val="superscript"/>
        </w:rPr>
        <w:footnoteReference w:id="97"/>
      </w:r>
      <w:r>
        <w:rPr>
          <w:rFonts w:ascii="Times New Roman" w:eastAsia="Times New Roman" w:hAnsi="Times New Roman" w:cs="Times New Roman"/>
          <w:sz w:val="22"/>
          <w:szCs w:val="22"/>
        </w:rPr>
        <w:t>. A su vez, el Acuerdo 862 de 2022 establece lineamientos para la creación de la Comisión Intersectorial de Apoyo al Emprendedor y Emprendedora Joven Rural Campesina de Bogotá D.C</w:t>
      </w:r>
      <w:r>
        <w:rPr>
          <w:rFonts w:ascii="Times New Roman" w:eastAsia="Times New Roman" w:hAnsi="Times New Roman" w:cs="Times New Roman"/>
          <w:sz w:val="22"/>
          <w:szCs w:val="22"/>
          <w:vertAlign w:val="superscript"/>
        </w:rPr>
        <w:footnoteReference w:id="98"/>
      </w:r>
      <w:r>
        <w:rPr>
          <w:rFonts w:ascii="Times New Roman" w:eastAsia="Times New Roman" w:hAnsi="Times New Roman" w:cs="Times New Roman"/>
          <w:sz w:val="22"/>
          <w:szCs w:val="22"/>
        </w:rPr>
        <w:t xml:space="preserve">. Adicionalmente, </w:t>
      </w:r>
      <w:r>
        <w:rPr>
          <w:rFonts w:ascii="Times New Roman" w:eastAsia="Times New Roman" w:hAnsi="Times New Roman" w:cs="Times New Roman"/>
          <w:sz w:val="22"/>
          <w:szCs w:val="22"/>
        </w:rPr>
        <w:lastRenderedPageBreak/>
        <w:t>el Acuerdo 848 de 2022 incentiva el emprendimiento en la e</w:t>
      </w:r>
      <w:r>
        <w:rPr>
          <w:rFonts w:ascii="Times New Roman" w:eastAsia="Times New Roman" w:hAnsi="Times New Roman" w:cs="Times New Roman"/>
          <w:sz w:val="22"/>
          <w:szCs w:val="22"/>
        </w:rPr>
        <w:t>ducación básica secundaria y media en las instituciones educativas públicas de la ciudad</w:t>
      </w:r>
      <w:r>
        <w:rPr>
          <w:rFonts w:ascii="Times New Roman" w:eastAsia="Times New Roman" w:hAnsi="Times New Roman" w:cs="Times New Roman"/>
          <w:sz w:val="22"/>
          <w:szCs w:val="22"/>
          <w:vertAlign w:val="superscript"/>
        </w:rPr>
        <w:footnoteReference w:id="99"/>
      </w:r>
      <w:r>
        <w:rPr>
          <w:rFonts w:ascii="Times New Roman" w:eastAsia="Times New Roman" w:hAnsi="Times New Roman" w:cs="Times New Roman"/>
          <w:sz w:val="22"/>
          <w:szCs w:val="22"/>
        </w:rPr>
        <w:t xml:space="preserve">. </w:t>
      </w:r>
    </w:p>
    <w:p w14:paraId="1CE63943" w14:textId="77777777" w:rsidR="004D0443" w:rsidRDefault="00DA3067">
      <w:pPr>
        <w:spacing w:line="276" w:lineRule="auto"/>
        <w:rPr>
          <w:rFonts w:ascii="Times New Roman" w:eastAsia="Times New Roman" w:hAnsi="Times New Roman" w:cs="Times New Roman"/>
          <w:b/>
          <w:color w:val="00B050"/>
          <w:sz w:val="22"/>
          <w:szCs w:val="22"/>
        </w:rPr>
      </w:pPr>
      <w:r>
        <w:rPr>
          <w:rFonts w:ascii="Times New Roman" w:eastAsia="Times New Roman" w:hAnsi="Times New Roman" w:cs="Times New Roman"/>
          <w:b/>
          <w:sz w:val="22"/>
          <w:szCs w:val="22"/>
        </w:rPr>
        <w:t>7. COMPETENCIA</w:t>
      </w:r>
    </w:p>
    <w:p w14:paraId="1CE63944" w14:textId="77777777" w:rsidR="004D0443" w:rsidRDefault="004D0443">
      <w:pPr>
        <w:spacing w:line="276" w:lineRule="auto"/>
        <w:jc w:val="both"/>
        <w:rPr>
          <w:rFonts w:ascii="Times New Roman" w:eastAsia="Times New Roman" w:hAnsi="Times New Roman" w:cs="Times New Roman"/>
          <w:b/>
          <w:sz w:val="22"/>
          <w:szCs w:val="22"/>
        </w:rPr>
      </w:pPr>
    </w:p>
    <w:p w14:paraId="1CE63945"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Concejo de Bogotá D.C. tiene la competencia para dictar normas relacionadas con la naturaleza y el alcance del presente Proyecto de Acuerdo, segú</w:t>
      </w:r>
      <w:r>
        <w:rPr>
          <w:rFonts w:ascii="Times New Roman" w:eastAsia="Times New Roman" w:hAnsi="Times New Roman" w:cs="Times New Roman"/>
          <w:sz w:val="22"/>
          <w:szCs w:val="22"/>
        </w:rPr>
        <w:t xml:space="preserve">n las disposiciones constitucionales y legales vigentes. En primer lugar, el </w:t>
      </w:r>
      <w:r>
        <w:rPr>
          <w:rFonts w:ascii="Times New Roman" w:eastAsia="Times New Roman" w:hAnsi="Times New Roman" w:cs="Times New Roman"/>
          <w:i/>
          <w:sz w:val="22"/>
          <w:szCs w:val="22"/>
        </w:rPr>
        <w:t>artículo 313 de la Constitución Política de Colombia</w:t>
      </w:r>
      <w:r>
        <w:rPr>
          <w:rFonts w:ascii="Times New Roman" w:eastAsia="Times New Roman" w:hAnsi="Times New Roman" w:cs="Times New Roman"/>
          <w:sz w:val="22"/>
          <w:szCs w:val="22"/>
        </w:rPr>
        <w:t xml:space="preserve"> establece que:</w:t>
      </w:r>
    </w:p>
    <w:p w14:paraId="1CE63946" w14:textId="77777777" w:rsidR="004D0443" w:rsidRDefault="004D0443">
      <w:pPr>
        <w:jc w:val="both"/>
        <w:rPr>
          <w:rFonts w:ascii="Times New Roman" w:eastAsia="Times New Roman" w:hAnsi="Times New Roman" w:cs="Times New Roman"/>
          <w:sz w:val="22"/>
          <w:szCs w:val="22"/>
        </w:rPr>
      </w:pPr>
    </w:p>
    <w:p w14:paraId="1CE63947" w14:textId="77777777" w:rsidR="004D0443" w:rsidRDefault="00DA3067">
      <w:pPr>
        <w:ind w:left="566"/>
        <w:jc w:val="both"/>
        <w:rPr>
          <w:rFonts w:ascii="Times New Roman" w:eastAsia="Times New Roman" w:hAnsi="Times New Roman" w:cs="Times New Roman"/>
          <w:i/>
          <w:sz w:val="22"/>
          <w:szCs w:val="22"/>
        </w:rPr>
      </w:pPr>
      <w:r>
        <w:rPr>
          <w:rFonts w:ascii="Times New Roman" w:eastAsia="Times New Roman" w:hAnsi="Times New Roman" w:cs="Times New Roman"/>
          <w:sz w:val="22"/>
          <w:szCs w:val="22"/>
        </w:rPr>
        <w:t>“</w:t>
      </w:r>
      <w:r>
        <w:rPr>
          <w:rFonts w:ascii="Times New Roman" w:eastAsia="Times New Roman" w:hAnsi="Times New Roman" w:cs="Times New Roman"/>
          <w:i/>
          <w:sz w:val="22"/>
          <w:szCs w:val="22"/>
        </w:rPr>
        <w:t>ARTÍCULO 313. Corresponde a los Concejos:</w:t>
      </w:r>
    </w:p>
    <w:p w14:paraId="1CE63948" w14:textId="77777777" w:rsidR="004D0443" w:rsidRDefault="004D0443">
      <w:pPr>
        <w:ind w:left="566"/>
        <w:jc w:val="both"/>
        <w:rPr>
          <w:rFonts w:ascii="Times New Roman" w:eastAsia="Times New Roman" w:hAnsi="Times New Roman" w:cs="Times New Roman"/>
          <w:i/>
          <w:sz w:val="22"/>
          <w:szCs w:val="22"/>
        </w:rPr>
      </w:pPr>
    </w:p>
    <w:p w14:paraId="1CE63949" w14:textId="77777777" w:rsidR="004D0443" w:rsidRDefault="00DA3067">
      <w:pPr>
        <w:ind w:left="566"/>
        <w:jc w:val="both"/>
        <w:rPr>
          <w:rFonts w:ascii="Times New Roman" w:eastAsia="Times New Roman" w:hAnsi="Times New Roman" w:cs="Times New Roman"/>
          <w:sz w:val="22"/>
          <w:szCs w:val="22"/>
        </w:rPr>
      </w:pPr>
      <w:r>
        <w:rPr>
          <w:rFonts w:ascii="Times New Roman" w:eastAsia="Times New Roman" w:hAnsi="Times New Roman" w:cs="Times New Roman"/>
          <w:i/>
          <w:sz w:val="22"/>
          <w:szCs w:val="22"/>
        </w:rPr>
        <w:t>1. Reglamentar las funciones y la eficiente prestación de los serv</w:t>
      </w:r>
      <w:r>
        <w:rPr>
          <w:rFonts w:ascii="Times New Roman" w:eastAsia="Times New Roman" w:hAnsi="Times New Roman" w:cs="Times New Roman"/>
          <w:i/>
          <w:sz w:val="22"/>
          <w:szCs w:val="22"/>
        </w:rPr>
        <w:t>icios a cargo del municipio [...]”</w:t>
      </w:r>
      <w:r>
        <w:rPr>
          <w:rFonts w:ascii="Times New Roman" w:eastAsia="Times New Roman" w:hAnsi="Times New Roman" w:cs="Times New Roman"/>
          <w:sz w:val="22"/>
          <w:szCs w:val="22"/>
        </w:rPr>
        <w:t>.</w:t>
      </w:r>
    </w:p>
    <w:p w14:paraId="1CE6394A" w14:textId="77777777" w:rsidR="004D0443" w:rsidRDefault="004D0443">
      <w:pPr>
        <w:ind w:left="566"/>
        <w:jc w:val="both"/>
        <w:rPr>
          <w:rFonts w:ascii="Times New Roman" w:eastAsia="Times New Roman" w:hAnsi="Times New Roman" w:cs="Times New Roman"/>
          <w:sz w:val="22"/>
          <w:szCs w:val="22"/>
        </w:rPr>
      </w:pPr>
    </w:p>
    <w:p w14:paraId="1CE6394B"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En segundo lugar, el </w:t>
      </w:r>
      <w:r>
        <w:rPr>
          <w:rFonts w:ascii="Times New Roman" w:eastAsia="Times New Roman" w:hAnsi="Times New Roman" w:cs="Times New Roman"/>
          <w:i/>
          <w:sz w:val="22"/>
          <w:szCs w:val="22"/>
        </w:rPr>
        <w:t>artículo 12 del Decreto Ley 1421 de 1993 - Estatuto Orgánico de Bogotá -</w:t>
      </w:r>
      <w:r>
        <w:rPr>
          <w:rFonts w:ascii="Times New Roman" w:eastAsia="Times New Roman" w:hAnsi="Times New Roman" w:cs="Times New Roman"/>
          <w:sz w:val="22"/>
          <w:szCs w:val="22"/>
        </w:rPr>
        <w:t xml:space="preserve"> estipula que:</w:t>
      </w:r>
    </w:p>
    <w:p w14:paraId="1CE6394C" w14:textId="77777777" w:rsidR="004D0443" w:rsidRDefault="004D0443">
      <w:pPr>
        <w:jc w:val="both"/>
        <w:rPr>
          <w:rFonts w:ascii="Times New Roman" w:eastAsia="Times New Roman" w:hAnsi="Times New Roman" w:cs="Times New Roman"/>
          <w:sz w:val="22"/>
          <w:szCs w:val="22"/>
        </w:rPr>
      </w:pPr>
    </w:p>
    <w:p w14:paraId="1CE6394D" w14:textId="77777777" w:rsidR="004D0443" w:rsidRDefault="00DA3067">
      <w:pPr>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“ARTÍCULO 12. Atribuciones. Corresponde al Concejo Distrital, de conformidad con la Constitución y a la ley:</w:t>
      </w:r>
    </w:p>
    <w:p w14:paraId="1CE6394E" w14:textId="77777777" w:rsidR="004D0443" w:rsidRDefault="004D0443">
      <w:pPr>
        <w:ind w:left="566"/>
        <w:jc w:val="both"/>
        <w:rPr>
          <w:rFonts w:ascii="Times New Roman" w:eastAsia="Times New Roman" w:hAnsi="Times New Roman" w:cs="Times New Roman"/>
          <w:i/>
          <w:sz w:val="22"/>
          <w:szCs w:val="22"/>
        </w:rPr>
      </w:pPr>
    </w:p>
    <w:p w14:paraId="1CE6394F" w14:textId="77777777" w:rsidR="004D0443" w:rsidRDefault="00DA3067">
      <w:pPr>
        <w:ind w:left="566"/>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t>1. Dictar las normas necesarias para garantizar el adecuado cumplimiento de las funciones y la eficiente prestación de los servicios a cargo del Distrito [...]”.</w:t>
      </w:r>
    </w:p>
    <w:p w14:paraId="1CE63950" w14:textId="77777777" w:rsidR="004D0443" w:rsidRDefault="004D0443">
      <w:pPr>
        <w:spacing w:line="276" w:lineRule="auto"/>
        <w:jc w:val="both"/>
        <w:rPr>
          <w:rFonts w:ascii="Times New Roman" w:eastAsia="Times New Roman" w:hAnsi="Times New Roman" w:cs="Times New Roman"/>
          <w:b/>
          <w:sz w:val="22"/>
          <w:szCs w:val="22"/>
        </w:rPr>
      </w:pPr>
    </w:p>
    <w:p w14:paraId="1CE63951" w14:textId="77777777" w:rsidR="004D0443" w:rsidRDefault="00DA3067">
      <w:pPr>
        <w:spacing w:line="276" w:lineRule="auto"/>
        <w:rPr>
          <w:rFonts w:ascii="Times New Roman" w:eastAsia="Times New Roman" w:hAnsi="Times New Roman" w:cs="Times New Roman"/>
          <w:b/>
          <w:color w:val="00B050"/>
          <w:sz w:val="22"/>
          <w:szCs w:val="22"/>
        </w:rPr>
      </w:pPr>
      <w:r>
        <w:rPr>
          <w:rFonts w:ascii="Times New Roman" w:eastAsia="Times New Roman" w:hAnsi="Times New Roman" w:cs="Times New Roman"/>
          <w:b/>
          <w:sz w:val="22"/>
          <w:szCs w:val="22"/>
        </w:rPr>
        <w:t>8. IMPACTO FISCAL</w:t>
      </w:r>
    </w:p>
    <w:p w14:paraId="1CE63952" w14:textId="77777777" w:rsidR="004D0443" w:rsidRDefault="004D0443">
      <w:pPr>
        <w:spacing w:line="276" w:lineRule="auto"/>
        <w:jc w:val="both"/>
        <w:rPr>
          <w:rFonts w:ascii="Times New Roman" w:eastAsia="Times New Roman" w:hAnsi="Times New Roman" w:cs="Times New Roman"/>
          <w:b/>
          <w:sz w:val="22"/>
          <w:szCs w:val="22"/>
        </w:rPr>
      </w:pPr>
    </w:p>
    <w:p w14:paraId="1CE63953"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La Ley 819 de 2003 “</w:t>
      </w:r>
      <w:r>
        <w:rPr>
          <w:rFonts w:ascii="Times New Roman" w:eastAsia="Times New Roman" w:hAnsi="Times New Roman" w:cs="Times New Roman"/>
          <w:i/>
          <w:sz w:val="22"/>
          <w:szCs w:val="22"/>
        </w:rPr>
        <w:t>Por la cual se dictan normas orgánicas en materia de p</w:t>
      </w:r>
      <w:r>
        <w:rPr>
          <w:rFonts w:ascii="Times New Roman" w:eastAsia="Times New Roman" w:hAnsi="Times New Roman" w:cs="Times New Roman"/>
          <w:i/>
          <w:sz w:val="22"/>
          <w:szCs w:val="22"/>
        </w:rPr>
        <w:t>resupuesto, responsabilidad y transparencia fiscal y se dictan otras disposiciones</w:t>
      </w:r>
      <w:r>
        <w:rPr>
          <w:rFonts w:ascii="Times New Roman" w:eastAsia="Times New Roman" w:hAnsi="Times New Roman" w:cs="Times New Roman"/>
          <w:sz w:val="22"/>
          <w:szCs w:val="22"/>
        </w:rPr>
        <w:t xml:space="preserve">” en su artículo 7 establece: </w:t>
      </w:r>
    </w:p>
    <w:p w14:paraId="1CE63954" w14:textId="77777777" w:rsidR="004D0443" w:rsidRDefault="004D0443">
      <w:pPr>
        <w:jc w:val="both"/>
        <w:rPr>
          <w:rFonts w:ascii="Times New Roman" w:eastAsia="Times New Roman" w:hAnsi="Times New Roman" w:cs="Times New Roman"/>
          <w:sz w:val="22"/>
          <w:szCs w:val="22"/>
        </w:rPr>
      </w:pPr>
    </w:p>
    <w:p w14:paraId="1CE63955" w14:textId="77777777" w:rsidR="004D0443" w:rsidRDefault="00DA3067">
      <w:pPr>
        <w:ind w:left="720"/>
        <w:jc w:val="both"/>
        <w:rPr>
          <w:rFonts w:ascii="Times New Roman" w:eastAsia="Times New Roman" w:hAnsi="Times New Roman" w:cs="Times New Roman"/>
          <w:sz w:val="22"/>
          <w:szCs w:val="22"/>
        </w:rPr>
      </w:pPr>
      <w:r>
        <w:rPr>
          <w:rFonts w:ascii="Times New Roman" w:eastAsia="Times New Roman" w:hAnsi="Times New Roman" w:cs="Times New Roman"/>
          <w:i/>
          <w:sz w:val="22"/>
          <w:szCs w:val="22"/>
        </w:rPr>
        <w:t>"Artículo 7º. Análisis del impacto fiscal de las normas. En todo momento, el impacto fiscal de cualquier proyecto de ley, ordenanza o acuerdo,</w:t>
      </w:r>
      <w:r>
        <w:rPr>
          <w:rFonts w:ascii="Times New Roman" w:eastAsia="Times New Roman" w:hAnsi="Times New Roman" w:cs="Times New Roman"/>
          <w:i/>
          <w:sz w:val="22"/>
          <w:szCs w:val="22"/>
        </w:rPr>
        <w:t xml:space="preserve"> que ordene gasto o que otorgue beneficios tributarios, deberá hacerse explícito y deberá ser compatible con el Marco Fiscal de Mediano Plazo.</w:t>
      </w:r>
    </w:p>
    <w:p w14:paraId="1CE63956" w14:textId="77777777" w:rsidR="004D0443" w:rsidRDefault="004D0443">
      <w:pPr>
        <w:jc w:val="both"/>
        <w:rPr>
          <w:rFonts w:ascii="Times New Roman" w:eastAsia="Times New Roman" w:hAnsi="Times New Roman" w:cs="Times New Roman"/>
          <w:sz w:val="22"/>
          <w:szCs w:val="22"/>
        </w:rPr>
      </w:pPr>
    </w:p>
    <w:p w14:paraId="1CE63957" w14:textId="77777777" w:rsidR="004D0443" w:rsidRDefault="00DA3067">
      <w:pPr>
        <w:ind w:left="720"/>
        <w:jc w:val="both"/>
        <w:rPr>
          <w:rFonts w:ascii="Times New Roman" w:eastAsia="Times New Roman" w:hAnsi="Times New Roman" w:cs="Times New Roman"/>
          <w:i/>
          <w:sz w:val="22"/>
          <w:szCs w:val="22"/>
        </w:rPr>
      </w:pPr>
      <w:r>
        <w:rPr>
          <w:rFonts w:ascii="Times New Roman" w:eastAsia="Times New Roman" w:hAnsi="Times New Roman" w:cs="Times New Roman"/>
          <w:i/>
          <w:sz w:val="22"/>
          <w:szCs w:val="22"/>
        </w:rPr>
        <w:lastRenderedPageBreak/>
        <w:t>Para estos propósitos, deberá incluirse expresamente en la exposición de motivos y en las ponencias de trámite respectivas los costos fiscales de la iniciativa y la fuente de ingreso adicional generada para el financiamiento de dicho costo”.</w:t>
      </w:r>
    </w:p>
    <w:p w14:paraId="1CE63958" w14:textId="77777777" w:rsidR="004D0443" w:rsidRDefault="00DA3067">
      <w:pPr>
        <w:spacing w:before="240" w:after="24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Proyecto de</w:t>
      </w:r>
      <w:r>
        <w:rPr>
          <w:rFonts w:ascii="Times New Roman" w:eastAsia="Times New Roman" w:hAnsi="Times New Roman" w:cs="Times New Roman"/>
          <w:sz w:val="22"/>
          <w:szCs w:val="22"/>
        </w:rPr>
        <w:t xml:space="preserve"> Acuerdo de Startups se puede vincular a la Política Pública Bogotá Territorio Inteligente (CONPES D.C. No. 29) mediante el aprovechamiento de los recursos ya dispuestos para la transformación digital de la ciudad. El proyecto puede fomentar la creación de</w:t>
      </w:r>
      <w:r>
        <w:rPr>
          <w:rFonts w:ascii="Times New Roman" w:eastAsia="Times New Roman" w:hAnsi="Times New Roman" w:cs="Times New Roman"/>
          <w:sz w:val="22"/>
          <w:szCs w:val="22"/>
        </w:rPr>
        <w:t xml:space="preserve"> startups tecnológicas, alineándose con los objetivos de la política pública que impulsa la innovación y la adopción de tecnologías emergentes. Al utilizar las plataformas y los recursos existentes destinados a cerrar la brecha digital y promover la digita</w:t>
      </w:r>
      <w:r>
        <w:rPr>
          <w:rFonts w:ascii="Times New Roman" w:eastAsia="Times New Roman" w:hAnsi="Times New Roman" w:cs="Times New Roman"/>
          <w:sz w:val="22"/>
          <w:szCs w:val="22"/>
        </w:rPr>
        <w:t>lización del sector privado, se evitaría un impacto fiscal adicional, maximizando la eficiencia de los recursos actuales (CONPES D.C. No. 29, 2023)​</w:t>
      </w:r>
      <w:r>
        <w:rPr>
          <w:rFonts w:ascii="Times New Roman" w:eastAsia="Times New Roman" w:hAnsi="Times New Roman" w:cs="Times New Roman"/>
          <w:sz w:val="22"/>
          <w:szCs w:val="22"/>
          <w:vertAlign w:val="superscript"/>
        </w:rPr>
        <w:footnoteReference w:id="100"/>
      </w:r>
      <w:r>
        <w:rPr>
          <w:rFonts w:ascii="Times New Roman" w:eastAsia="Times New Roman" w:hAnsi="Times New Roman" w:cs="Times New Roman"/>
          <w:sz w:val="22"/>
          <w:szCs w:val="22"/>
        </w:rPr>
        <w:t>.</w:t>
      </w:r>
    </w:p>
    <w:p w14:paraId="1CE63959" w14:textId="77777777" w:rsidR="004D0443" w:rsidRDefault="00DA3067">
      <w:pPr>
        <w:spacing w:before="240" w:after="24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relación con la Política Pública de Trabajo Decente y Digno (CONPES D.C. No. 33), el proyecto puede fomentar la creación de empleos formales en las startups, integrándose con los programas de empleo y formación laboral que ya existen bajo esta política.</w:t>
      </w:r>
      <w:r>
        <w:rPr>
          <w:rFonts w:ascii="Times New Roman" w:eastAsia="Times New Roman" w:hAnsi="Times New Roman" w:cs="Times New Roman"/>
          <w:sz w:val="22"/>
          <w:szCs w:val="22"/>
        </w:rPr>
        <w:t xml:space="preserve"> De esta manera, se puede aprovechar el marco institucional y los recursos asignados para fortalecer la empleabilidad y la formación en competencias digitales, sin generar nuevas cargas presupuestales. Además, esto contribuiría a la generación de empleo fo</w:t>
      </w:r>
      <w:r>
        <w:rPr>
          <w:rFonts w:ascii="Times New Roman" w:eastAsia="Times New Roman" w:hAnsi="Times New Roman" w:cs="Times New Roman"/>
          <w:sz w:val="22"/>
          <w:szCs w:val="22"/>
        </w:rPr>
        <w:t>rmal y de calidad en el sector tecnológico, optimizando los incentivos ya asignados (CONPES D.C. No. 33, 2023)​</w:t>
      </w:r>
      <w:r>
        <w:rPr>
          <w:rFonts w:ascii="Times New Roman" w:eastAsia="Times New Roman" w:hAnsi="Times New Roman" w:cs="Times New Roman"/>
          <w:sz w:val="22"/>
          <w:szCs w:val="22"/>
          <w:vertAlign w:val="superscript"/>
        </w:rPr>
        <w:footnoteReference w:id="101"/>
      </w:r>
      <w:r>
        <w:rPr>
          <w:rFonts w:ascii="Times New Roman" w:eastAsia="Times New Roman" w:hAnsi="Times New Roman" w:cs="Times New Roman"/>
          <w:sz w:val="22"/>
          <w:szCs w:val="22"/>
        </w:rPr>
        <w:t>.</w:t>
      </w:r>
    </w:p>
    <w:p w14:paraId="1CE6395A" w14:textId="77777777" w:rsidR="004D0443" w:rsidRDefault="00DA3067">
      <w:pPr>
        <w:spacing w:before="240" w:after="24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Por último, el proyecto de startups también puede articularse con la Política Pública de Productividad, Competitividad y Desarrollo Socioeconó</w:t>
      </w:r>
      <w:r>
        <w:rPr>
          <w:rFonts w:ascii="Times New Roman" w:eastAsia="Times New Roman" w:hAnsi="Times New Roman" w:cs="Times New Roman"/>
          <w:sz w:val="22"/>
          <w:szCs w:val="22"/>
        </w:rPr>
        <w:t>mico (CONPES D.C. No. 25). Al impulsar el emprendimiento tecnológico, las startups pueden integrarse en los ecosistemas de innovación y desarrollo empresarial promovidos por esta política, que ya dispone de recursos para fomentar la competitividad y el cre</w:t>
      </w:r>
      <w:r>
        <w:rPr>
          <w:rFonts w:ascii="Times New Roman" w:eastAsia="Times New Roman" w:hAnsi="Times New Roman" w:cs="Times New Roman"/>
          <w:sz w:val="22"/>
          <w:szCs w:val="22"/>
        </w:rPr>
        <w:t xml:space="preserve">cimiento económico en el Distrito. Esto permite que las startups accedan a los </w:t>
      </w:r>
      <w:r>
        <w:rPr>
          <w:rFonts w:ascii="Times New Roman" w:eastAsia="Times New Roman" w:hAnsi="Times New Roman" w:cs="Times New Roman"/>
          <w:sz w:val="22"/>
          <w:szCs w:val="22"/>
        </w:rPr>
        <w:lastRenderedPageBreak/>
        <w:t>programas de apoyo a la competitividad sin necesidad de nuevas inversiones fiscales, consolidando a Bogotá como un hub de innovación (CONPES D.C. No. 25, 2023)​</w:t>
      </w:r>
      <w:r>
        <w:rPr>
          <w:rFonts w:ascii="Times New Roman" w:eastAsia="Times New Roman" w:hAnsi="Times New Roman" w:cs="Times New Roman"/>
          <w:sz w:val="22"/>
          <w:szCs w:val="22"/>
          <w:vertAlign w:val="superscript"/>
        </w:rPr>
        <w:footnoteReference w:id="102"/>
      </w:r>
      <w:r>
        <w:rPr>
          <w:rFonts w:ascii="Times New Roman" w:eastAsia="Times New Roman" w:hAnsi="Times New Roman" w:cs="Times New Roman"/>
          <w:sz w:val="22"/>
          <w:szCs w:val="22"/>
        </w:rPr>
        <w:t>.</w:t>
      </w:r>
    </w:p>
    <w:p w14:paraId="1CE6395B"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En consecuenci</w:t>
      </w:r>
      <w:r>
        <w:rPr>
          <w:rFonts w:ascii="Times New Roman" w:eastAsia="Times New Roman" w:hAnsi="Times New Roman" w:cs="Times New Roman"/>
          <w:sz w:val="22"/>
          <w:szCs w:val="22"/>
        </w:rPr>
        <w:t xml:space="preserve">a, esta iniciativa </w:t>
      </w:r>
      <w:r>
        <w:rPr>
          <w:rFonts w:ascii="Times New Roman" w:eastAsia="Times New Roman" w:hAnsi="Times New Roman" w:cs="Times New Roman"/>
          <w:b/>
          <w:sz w:val="22"/>
          <w:szCs w:val="22"/>
        </w:rPr>
        <w:t>no tiene un impacto fiscal</w:t>
      </w:r>
      <w:r>
        <w:rPr>
          <w:rFonts w:ascii="Times New Roman" w:eastAsia="Times New Roman" w:hAnsi="Times New Roman" w:cs="Times New Roman"/>
          <w:sz w:val="22"/>
          <w:szCs w:val="22"/>
        </w:rPr>
        <w:t xml:space="preserve"> por cuanto no implica la apropiación de recursos adicionales a los sectores y entidades responsables de su implementación. </w:t>
      </w:r>
    </w:p>
    <w:p w14:paraId="1CE6395C" w14:textId="77777777" w:rsidR="004D0443" w:rsidRDefault="004D0443">
      <w:pPr>
        <w:jc w:val="both"/>
        <w:rPr>
          <w:rFonts w:ascii="Times New Roman" w:eastAsia="Times New Roman" w:hAnsi="Times New Roman" w:cs="Times New Roman"/>
          <w:sz w:val="22"/>
          <w:szCs w:val="22"/>
        </w:rPr>
      </w:pPr>
    </w:p>
    <w:p w14:paraId="1CE6395D" w14:textId="77777777" w:rsidR="004D0443" w:rsidRDefault="00DA3067">
      <w:pPr>
        <w:rPr>
          <w:rFonts w:ascii="Times New Roman" w:eastAsia="Times New Roman" w:hAnsi="Times New Roman" w:cs="Times New Roman"/>
          <w:b/>
          <w:sz w:val="22"/>
          <w:szCs w:val="22"/>
        </w:rPr>
      </w:pPr>
      <w:r>
        <w:rPr>
          <w:rFonts w:ascii="Times New Roman" w:eastAsia="Times New Roman" w:hAnsi="Times New Roman" w:cs="Times New Roman"/>
          <w:b/>
          <w:sz w:val="22"/>
          <w:szCs w:val="22"/>
        </w:rPr>
        <w:t>9. PARTICIPACIÓN CIUDADANA</w:t>
      </w:r>
    </w:p>
    <w:p w14:paraId="1CE6395E" w14:textId="77777777" w:rsidR="004D0443" w:rsidRDefault="004D0443">
      <w:pPr>
        <w:jc w:val="center"/>
        <w:rPr>
          <w:rFonts w:ascii="Times New Roman" w:eastAsia="Times New Roman" w:hAnsi="Times New Roman" w:cs="Times New Roman"/>
          <w:b/>
          <w:sz w:val="22"/>
          <w:szCs w:val="22"/>
        </w:rPr>
      </w:pPr>
    </w:p>
    <w:p w14:paraId="1CE6395F"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El día 23 de septiembre de 2024 se realizó una  mesa técn</w:t>
      </w:r>
      <w:r>
        <w:rPr>
          <w:rFonts w:ascii="Times New Roman" w:eastAsia="Times New Roman" w:hAnsi="Times New Roman" w:cs="Times New Roman"/>
          <w:sz w:val="22"/>
          <w:szCs w:val="22"/>
        </w:rPr>
        <w:t>ica con expertos en materia de startups en las instalaciones del Concejo de Bogotá, específicamente en el recinto de la Comisión de Hacienda y Crédito Público del edificio Maria Currea de Aya, con el propósito de co-construir con base en sus aportes la pre</w:t>
      </w:r>
      <w:r>
        <w:rPr>
          <w:rFonts w:ascii="Times New Roman" w:eastAsia="Times New Roman" w:hAnsi="Times New Roman" w:cs="Times New Roman"/>
          <w:sz w:val="22"/>
          <w:szCs w:val="22"/>
        </w:rPr>
        <w:t xml:space="preserve">sente iniciativa normativa. A este  evento asistieron los siguientes representantes, quienes participaron activamente y, en virtud de ello, se exalta y reconoce su apoyo para la elaboración de este Proyecto de Acuerdo: </w:t>
      </w:r>
    </w:p>
    <w:p w14:paraId="1CE63960" w14:textId="77777777" w:rsidR="004D0443" w:rsidRDefault="004D0443">
      <w:pPr>
        <w:rPr>
          <w:rFonts w:ascii="Times New Roman" w:eastAsia="Times New Roman" w:hAnsi="Times New Roman" w:cs="Times New Roman"/>
          <w:sz w:val="22"/>
          <w:szCs w:val="22"/>
        </w:rPr>
      </w:pPr>
    </w:p>
    <w:tbl>
      <w:tblPr>
        <w:tblStyle w:val="aff3"/>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801"/>
        <w:gridCol w:w="4037"/>
      </w:tblGrid>
      <w:tr w:rsidR="004D0443" w14:paraId="1CE63963" w14:textId="77777777">
        <w:trPr>
          <w:trHeight w:val="300"/>
        </w:trPr>
        <w:tc>
          <w:tcPr>
            <w:tcW w:w="4801" w:type="dxa"/>
            <w:tcBorders>
              <w:top w:val="single" w:sz="5" w:space="0" w:color="000000"/>
              <w:left w:val="single" w:sz="5" w:space="0" w:color="000000"/>
              <w:bottom w:val="single" w:sz="5" w:space="0" w:color="000000"/>
              <w:right w:val="single" w:sz="5" w:space="0" w:color="000000"/>
            </w:tcBorders>
            <w:shd w:val="clear" w:color="auto" w:fill="D9EAD3"/>
            <w:tcMar>
              <w:top w:w="0" w:type="dxa"/>
              <w:left w:w="40" w:type="dxa"/>
              <w:bottom w:w="0" w:type="dxa"/>
              <w:right w:w="40" w:type="dxa"/>
            </w:tcMar>
            <w:vAlign w:val="center"/>
          </w:tcPr>
          <w:p w14:paraId="1CE63961"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Institución</w:t>
            </w:r>
          </w:p>
        </w:tc>
        <w:tc>
          <w:tcPr>
            <w:tcW w:w="4037" w:type="dxa"/>
            <w:tcBorders>
              <w:top w:val="single" w:sz="5" w:space="0" w:color="000000"/>
              <w:left w:val="single" w:sz="5" w:space="0" w:color="CCCCCC"/>
              <w:bottom w:val="single" w:sz="5" w:space="0" w:color="000000"/>
              <w:right w:val="single" w:sz="5" w:space="0" w:color="000000"/>
            </w:tcBorders>
            <w:shd w:val="clear" w:color="auto" w:fill="D9EAD3"/>
            <w:tcMar>
              <w:top w:w="0" w:type="dxa"/>
              <w:left w:w="40" w:type="dxa"/>
              <w:bottom w:w="0" w:type="dxa"/>
              <w:right w:w="40" w:type="dxa"/>
            </w:tcMar>
            <w:vAlign w:val="center"/>
          </w:tcPr>
          <w:p w14:paraId="1CE63962"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Nombre</w:t>
            </w:r>
          </w:p>
        </w:tc>
      </w:tr>
      <w:tr w:rsidR="004D0443" w14:paraId="1CE63966" w14:textId="77777777">
        <w:trPr>
          <w:trHeight w:val="300"/>
        </w:trPr>
        <w:tc>
          <w:tcPr>
            <w:tcW w:w="4801" w:type="dxa"/>
            <w:vMerge w:val="restart"/>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vAlign w:val="center"/>
          </w:tcPr>
          <w:p w14:paraId="1CE63964"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Centro de Emprendimiento Universidad del Rosario</w:t>
            </w:r>
          </w:p>
        </w:tc>
        <w:tc>
          <w:tcPr>
            <w:tcW w:w="4037"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vAlign w:val="center"/>
          </w:tcPr>
          <w:p w14:paraId="1CE63965"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Adriana Diago</w:t>
            </w:r>
          </w:p>
        </w:tc>
      </w:tr>
      <w:tr w:rsidR="004D0443" w14:paraId="1CE63969" w14:textId="77777777">
        <w:trPr>
          <w:trHeight w:val="300"/>
        </w:trPr>
        <w:tc>
          <w:tcPr>
            <w:tcW w:w="4801" w:type="dxa"/>
            <w:vMerge/>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vAlign w:val="center"/>
          </w:tcPr>
          <w:p w14:paraId="1CE63967"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68"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Juan Sebastián Chávez</w:t>
            </w:r>
          </w:p>
        </w:tc>
      </w:tr>
      <w:tr w:rsidR="004D0443" w14:paraId="1CE6396C" w14:textId="77777777">
        <w:trPr>
          <w:trHeight w:val="300"/>
        </w:trPr>
        <w:tc>
          <w:tcPr>
            <w:tcW w:w="4801" w:type="dxa"/>
            <w:vMerge/>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vAlign w:val="center"/>
          </w:tcPr>
          <w:p w14:paraId="1CE6396A"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6B"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Carlos Guayara</w:t>
            </w:r>
          </w:p>
        </w:tc>
      </w:tr>
      <w:tr w:rsidR="004D0443" w14:paraId="1CE6396F" w14:textId="77777777">
        <w:trPr>
          <w:trHeight w:val="495"/>
        </w:trPr>
        <w:tc>
          <w:tcPr>
            <w:tcW w:w="4801" w:type="dxa"/>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6D"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Facultad de Administración de Empresas de la Universidad Central</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6E"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Julio Andrés Palacios Valero</w:t>
            </w:r>
          </w:p>
        </w:tc>
      </w:tr>
      <w:tr w:rsidR="004D0443" w14:paraId="1CE63972" w14:textId="77777777">
        <w:trPr>
          <w:trHeight w:val="495"/>
        </w:trPr>
        <w:tc>
          <w:tcPr>
            <w:tcW w:w="4801" w:type="dxa"/>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70"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Programa de Administración de Empresas de la Universidad Piloto</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71"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Julián Esteban Gutiérrez Rodríguez</w:t>
            </w:r>
          </w:p>
        </w:tc>
      </w:tr>
      <w:tr w:rsidR="004D0443" w14:paraId="1CE63975" w14:textId="77777777">
        <w:trPr>
          <w:trHeight w:val="300"/>
        </w:trPr>
        <w:tc>
          <w:tcPr>
            <w:tcW w:w="4801" w:type="dxa"/>
            <w:vMerge w:val="restart"/>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73"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Programa de Finanzas y Negocios Internacionales de la Fundación Universitaria del Área Andina</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74"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July Alexandra Villalba Rodriguez</w:t>
            </w:r>
          </w:p>
        </w:tc>
      </w:tr>
      <w:tr w:rsidR="004D0443" w14:paraId="1CE63978" w14:textId="77777777">
        <w:trPr>
          <w:trHeight w:val="495"/>
        </w:trPr>
        <w:tc>
          <w:tcPr>
            <w:tcW w:w="4801" w:type="dxa"/>
            <w:vMerge/>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76"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77"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Eliana Lisbeth Florez Duque</w:t>
            </w:r>
          </w:p>
        </w:tc>
      </w:tr>
      <w:tr w:rsidR="004D0443" w14:paraId="1CE6397B" w14:textId="77777777">
        <w:trPr>
          <w:trHeight w:val="300"/>
        </w:trPr>
        <w:tc>
          <w:tcPr>
            <w:tcW w:w="4801" w:type="dxa"/>
            <w:vMerge/>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79"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7A"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Mario Alejandro Garcerá Murillo</w:t>
            </w:r>
          </w:p>
        </w:tc>
      </w:tr>
      <w:tr w:rsidR="004D0443" w14:paraId="1CE6397E" w14:textId="77777777">
        <w:trPr>
          <w:trHeight w:val="300"/>
        </w:trPr>
        <w:tc>
          <w:tcPr>
            <w:tcW w:w="4801" w:type="dxa"/>
            <w:vMerge w:val="restart"/>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7C"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Facultad de Ciencias Económicas y Administrativas de la Universidad El Bosque</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7D"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Oscar Mauricio Ávila Bustos</w:t>
            </w:r>
          </w:p>
        </w:tc>
      </w:tr>
      <w:tr w:rsidR="004D0443" w14:paraId="1CE63982" w14:textId="77777777">
        <w:trPr>
          <w:trHeight w:val="495"/>
        </w:trPr>
        <w:tc>
          <w:tcPr>
            <w:tcW w:w="4801" w:type="dxa"/>
            <w:vMerge/>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7F"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80"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Cristian Camilo Correa Barrera</w:t>
            </w:r>
          </w:p>
          <w:p w14:paraId="1CE63981"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Emprendedor Fintech</w:t>
            </w:r>
          </w:p>
        </w:tc>
      </w:tr>
      <w:tr w:rsidR="004D0443" w14:paraId="1CE63985" w14:textId="77777777">
        <w:trPr>
          <w:trHeight w:val="300"/>
        </w:trPr>
        <w:tc>
          <w:tcPr>
            <w:tcW w:w="4801" w:type="dxa"/>
            <w:vMerge w:val="restart"/>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83"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Programa de Administración de Empresas de la Universidad Militar</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84"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Enit Godoy Estrella</w:t>
            </w:r>
          </w:p>
        </w:tc>
      </w:tr>
      <w:tr w:rsidR="004D0443" w14:paraId="1CE63988" w14:textId="77777777">
        <w:trPr>
          <w:trHeight w:val="300"/>
        </w:trPr>
        <w:tc>
          <w:tcPr>
            <w:tcW w:w="4801" w:type="dxa"/>
            <w:vMerge/>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86"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87"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Pedro José Sánchez Caimán </w:t>
            </w:r>
          </w:p>
        </w:tc>
      </w:tr>
      <w:tr w:rsidR="004D0443" w14:paraId="1CE6398B" w14:textId="77777777">
        <w:trPr>
          <w:trHeight w:val="495"/>
        </w:trPr>
        <w:tc>
          <w:tcPr>
            <w:tcW w:w="4801" w:type="dxa"/>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89"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Facultad de Ciencias Económica de la Universidad EAN</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8A"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Jose Enrique Alba</w:t>
            </w:r>
          </w:p>
        </w:tc>
      </w:tr>
      <w:tr w:rsidR="004D0443" w14:paraId="1CE6398F" w14:textId="77777777">
        <w:trPr>
          <w:trHeight w:val="1215"/>
        </w:trPr>
        <w:tc>
          <w:tcPr>
            <w:tcW w:w="4801" w:type="dxa"/>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8C"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Escuela de Negocios  y  Hub de Emprendimiento</w:t>
            </w:r>
          </w:p>
          <w:p w14:paraId="1CE6398D"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de la Universidad de La Salle </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8E"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Andrés Felipe Ortiz Zamora</w:t>
            </w:r>
          </w:p>
        </w:tc>
      </w:tr>
      <w:tr w:rsidR="004D0443" w14:paraId="1CE63992" w14:textId="77777777">
        <w:trPr>
          <w:trHeight w:val="495"/>
        </w:trPr>
        <w:tc>
          <w:tcPr>
            <w:tcW w:w="4801" w:type="dxa"/>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90"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Especialización en Emprendimiento de la Universidad de  La Salle</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91"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Zuly Lorena Rojas Romero</w:t>
            </w:r>
          </w:p>
        </w:tc>
      </w:tr>
      <w:tr w:rsidR="004D0443" w14:paraId="1CE63995" w14:textId="77777777">
        <w:trPr>
          <w:trHeight w:val="495"/>
        </w:trPr>
        <w:tc>
          <w:tcPr>
            <w:tcW w:w="4801" w:type="dxa"/>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93"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Área de Emprendimiento de la Universidad de La Salle </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94"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Jackson Paul Pereira Silva</w:t>
            </w:r>
          </w:p>
        </w:tc>
      </w:tr>
      <w:tr w:rsidR="004D0443" w14:paraId="1CE63998" w14:textId="77777777">
        <w:trPr>
          <w:trHeight w:val="300"/>
        </w:trPr>
        <w:tc>
          <w:tcPr>
            <w:tcW w:w="4801" w:type="dxa"/>
            <w:vMerge w:val="restart"/>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96"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Universidad de La Salle </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97"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Jose Armando Hernández Bernal</w:t>
            </w:r>
          </w:p>
        </w:tc>
      </w:tr>
      <w:tr w:rsidR="004D0443" w14:paraId="1CE6399B" w14:textId="77777777">
        <w:trPr>
          <w:trHeight w:val="300"/>
        </w:trPr>
        <w:tc>
          <w:tcPr>
            <w:tcW w:w="4801" w:type="dxa"/>
            <w:vMerge/>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99"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9A"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Ruth Rodriguez Andrade</w:t>
            </w:r>
          </w:p>
        </w:tc>
      </w:tr>
      <w:tr w:rsidR="004D0443" w14:paraId="1CE6399E" w14:textId="77777777">
        <w:trPr>
          <w:trHeight w:val="495"/>
        </w:trPr>
        <w:tc>
          <w:tcPr>
            <w:tcW w:w="4801" w:type="dxa"/>
            <w:vMerge/>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CE6399C"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E6399D"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Martha Cecilia López </w:t>
            </w:r>
          </w:p>
        </w:tc>
      </w:tr>
      <w:tr w:rsidR="004D0443" w14:paraId="1CE639A1" w14:textId="77777777">
        <w:trPr>
          <w:trHeight w:val="300"/>
        </w:trPr>
        <w:tc>
          <w:tcPr>
            <w:tcW w:w="4801" w:type="dxa"/>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bottom"/>
          </w:tcPr>
          <w:p w14:paraId="1CE6399F"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Universidad Cooperativa de Colombia</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bottom"/>
          </w:tcPr>
          <w:p w14:paraId="1CE639A0"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Adriana Rojas Martinez</w:t>
            </w:r>
          </w:p>
        </w:tc>
      </w:tr>
      <w:tr w:rsidR="004D0443" w14:paraId="1CE639A4" w14:textId="77777777">
        <w:trPr>
          <w:trHeight w:val="300"/>
        </w:trPr>
        <w:tc>
          <w:tcPr>
            <w:tcW w:w="4801" w:type="dxa"/>
            <w:vMerge w:val="restart"/>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bottom"/>
          </w:tcPr>
          <w:p w14:paraId="1CE639A2"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Katalab</w:t>
            </w: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bottom"/>
          </w:tcPr>
          <w:p w14:paraId="1CE639A3"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Luis David Garnica</w:t>
            </w:r>
          </w:p>
        </w:tc>
      </w:tr>
      <w:tr w:rsidR="004D0443" w14:paraId="1CE639A7" w14:textId="77777777">
        <w:trPr>
          <w:trHeight w:val="300"/>
        </w:trPr>
        <w:tc>
          <w:tcPr>
            <w:tcW w:w="4801" w:type="dxa"/>
            <w:vMerge/>
            <w:tcBorders>
              <w:top w:val="single" w:sz="5" w:space="0" w:color="CCCCCC"/>
              <w:left w:val="single" w:sz="5" w:space="0" w:color="000000"/>
              <w:bottom w:val="single" w:sz="5" w:space="0" w:color="000000"/>
              <w:right w:val="single" w:sz="5" w:space="0" w:color="000000"/>
            </w:tcBorders>
            <w:shd w:val="clear" w:color="auto" w:fill="auto"/>
            <w:tcMar>
              <w:top w:w="0" w:type="dxa"/>
              <w:left w:w="40" w:type="dxa"/>
              <w:bottom w:w="0" w:type="dxa"/>
              <w:right w:w="40" w:type="dxa"/>
            </w:tcMar>
            <w:vAlign w:val="bottom"/>
          </w:tcPr>
          <w:p w14:paraId="1CE639A5" w14:textId="77777777" w:rsidR="004D0443" w:rsidRDefault="004D0443">
            <w:pPr>
              <w:widowControl w:val="0"/>
              <w:pBdr>
                <w:top w:val="nil"/>
                <w:left w:val="nil"/>
                <w:bottom w:val="nil"/>
                <w:right w:val="nil"/>
                <w:between w:val="nil"/>
              </w:pBdr>
              <w:spacing w:line="276" w:lineRule="auto"/>
              <w:rPr>
                <w:rFonts w:ascii="Times New Roman" w:eastAsia="Times New Roman" w:hAnsi="Times New Roman" w:cs="Times New Roman"/>
                <w:sz w:val="20"/>
                <w:szCs w:val="20"/>
              </w:rPr>
            </w:pPr>
          </w:p>
        </w:tc>
        <w:tc>
          <w:tcPr>
            <w:tcW w:w="4037"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bottom"/>
          </w:tcPr>
          <w:p w14:paraId="1CE639A6" w14:textId="77777777" w:rsidR="004D0443" w:rsidRDefault="00DA3067">
            <w:pPr>
              <w:widowControl w:val="0"/>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Augusto Moreno</w:t>
            </w:r>
          </w:p>
        </w:tc>
      </w:tr>
    </w:tbl>
    <w:p w14:paraId="1CE639A8" w14:textId="77777777" w:rsidR="004D0443" w:rsidRDefault="00DA3067">
      <w:pPr>
        <w:jc w:val="center"/>
        <w:rPr>
          <w:rFonts w:ascii="Times New Roman" w:eastAsia="Times New Roman" w:hAnsi="Times New Roman" w:cs="Times New Roman"/>
          <w:sz w:val="22"/>
          <w:szCs w:val="22"/>
        </w:rPr>
      </w:pPr>
      <w:r>
        <w:rPr>
          <w:rFonts w:ascii="Times New Roman" w:eastAsia="Times New Roman" w:hAnsi="Times New Roman" w:cs="Times New Roman"/>
          <w:noProof/>
          <w:sz w:val="22"/>
          <w:szCs w:val="22"/>
          <w:lang w:val="es-CO"/>
        </w:rPr>
        <w:drawing>
          <wp:inline distT="114300" distB="114300" distL="114300" distR="114300" wp14:anchorId="1CE63A15" wp14:editId="1CE63A16">
            <wp:extent cx="2589713" cy="1938987"/>
            <wp:effectExtent l="0" t="0" r="0" b="0"/>
            <wp:docPr id="148"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22"/>
                    <a:srcRect/>
                    <a:stretch>
                      <a:fillRect/>
                    </a:stretch>
                  </pic:blipFill>
                  <pic:spPr>
                    <a:xfrm>
                      <a:off x="0" y="0"/>
                      <a:ext cx="2589713" cy="1938987"/>
                    </a:xfrm>
                    <a:prstGeom prst="rect">
                      <a:avLst/>
                    </a:prstGeom>
                    <a:ln/>
                  </pic:spPr>
                </pic:pic>
              </a:graphicData>
            </a:graphic>
          </wp:inline>
        </w:drawing>
      </w:r>
      <w:r>
        <w:rPr>
          <w:rFonts w:ascii="Times New Roman" w:eastAsia="Times New Roman" w:hAnsi="Times New Roman" w:cs="Times New Roman"/>
          <w:noProof/>
          <w:sz w:val="22"/>
          <w:szCs w:val="22"/>
          <w:lang w:val="es-CO"/>
        </w:rPr>
        <w:drawing>
          <wp:inline distT="114300" distB="114300" distL="114300" distR="114300" wp14:anchorId="1CE63A17" wp14:editId="1CE63A18">
            <wp:extent cx="2599385" cy="1947141"/>
            <wp:effectExtent l="0" t="0" r="0" b="0"/>
            <wp:docPr id="149"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23"/>
                    <a:srcRect/>
                    <a:stretch>
                      <a:fillRect/>
                    </a:stretch>
                  </pic:blipFill>
                  <pic:spPr>
                    <a:xfrm>
                      <a:off x="0" y="0"/>
                      <a:ext cx="2599385" cy="1947141"/>
                    </a:xfrm>
                    <a:prstGeom prst="rect">
                      <a:avLst/>
                    </a:prstGeom>
                    <a:ln/>
                  </pic:spPr>
                </pic:pic>
              </a:graphicData>
            </a:graphic>
          </wp:inline>
        </w:drawing>
      </w:r>
    </w:p>
    <w:p w14:paraId="1CE639A9" w14:textId="64201C57" w:rsidR="004D0443" w:rsidRDefault="00DA3067">
      <w:pPr>
        <w:jc w:val="center"/>
        <w:rPr>
          <w:rFonts w:ascii="Times New Roman" w:eastAsia="Times New Roman" w:hAnsi="Times New Roman" w:cs="Times New Roman"/>
          <w:sz w:val="22"/>
          <w:szCs w:val="22"/>
        </w:rPr>
      </w:pPr>
      <w:r>
        <w:rPr>
          <w:rFonts w:ascii="Times New Roman" w:eastAsia="Times New Roman" w:hAnsi="Times New Roman" w:cs="Times New Roman"/>
          <w:noProof/>
          <w:sz w:val="22"/>
          <w:szCs w:val="22"/>
          <w:lang w:val="es-CO"/>
        </w:rPr>
        <w:lastRenderedPageBreak/>
        <w:drawing>
          <wp:inline distT="114300" distB="114300" distL="114300" distR="114300" wp14:anchorId="1CE63A19" wp14:editId="1CE63A1A">
            <wp:extent cx="2605608" cy="1946941"/>
            <wp:effectExtent l="0" t="0" r="0" b="0"/>
            <wp:docPr id="150"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24"/>
                    <a:srcRect/>
                    <a:stretch>
                      <a:fillRect/>
                    </a:stretch>
                  </pic:blipFill>
                  <pic:spPr>
                    <a:xfrm>
                      <a:off x="0" y="0"/>
                      <a:ext cx="2605608" cy="1946941"/>
                    </a:xfrm>
                    <a:prstGeom prst="rect">
                      <a:avLst/>
                    </a:prstGeom>
                    <a:ln/>
                  </pic:spPr>
                </pic:pic>
              </a:graphicData>
            </a:graphic>
          </wp:inline>
        </w:drawing>
      </w:r>
      <w:r>
        <w:rPr>
          <w:rFonts w:ascii="Times New Roman" w:eastAsia="Times New Roman" w:hAnsi="Times New Roman" w:cs="Times New Roman"/>
          <w:noProof/>
          <w:sz w:val="22"/>
          <w:szCs w:val="22"/>
          <w:lang w:val="es-CO"/>
        </w:rPr>
        <w:drawing>
          <wp:inline distT="114300" distB="114300" distL="114300" distR="114300" wp14:anchorId="1CE63A1B" wp14:editId="1CE63A1C">
            <wp:extent cx="2662897" cy="1988527"/>
            <wp:effectExtent l="0" t="0" r="0" b="0"/>
            <wp:docPr id="151"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25"/>
                    <a:srcRect/>
                    <a:stretch>
                      <a:fillRect/>
                    </a:stretch>
                  </pic:blipFill>
                  <pic:spPr>
                    <a:xfrm>
                      <a:off x="0" y="0"/>
                      <a:ext cx="2662897" cy="1988527"/>
                    </a:xfrm>
                    <a:prstGeom prst="rect">
                      <a:avLst/>
                    </a:prstGeom>
                    <a:ln/>
                  </pic:spPr>
                </pic:pic>
              </a:graphicData>
            </a:graphic>
          </wp:inline>
        </w:drawing>
      </w:r>
      <w:bookmarkStart w:id="12" w:name="_GoBack"/>
      <w:bookmarkEnd w:id="12"/>
    </w:p>
    <w:p w14:paraId="1CE639AA" w14:textId="77777777" w:rsidR="004D0443" w:rsidRDefault="004D0443">
      <w:pPr>
        <w:rPr>
          <w:rFonts w:ascii="Times New Roman" w:eastAsia="Times New Roman" w:hAnsi="Times New Roman" w:cs="Times New Roman"/>
          <w:sz w:val="22"/>
          <w:szCs w:val="22"/>
        </w:rPr>
      </w:pPr>
    </w:p>
    <w:p w14:paraId="1CE639AB"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Cordialmente,</w:t>
      </w:r>
    </w:p>
    <w:p w14:paraId="1CE639AC" w14:textId="77777777" w:rsidR="004D0443" w:rsidRDefault="004D0443">
      <w:pPr>
        <w:jc w:val="both"/>
        <w:rPr>
          <w:rFonts w:ascii="Times New Roman" w:eastAsia="Times New Roman" w:hAnsi="Times New Roman" w:cs="Times New Roman"/>
          <w:sz w:val="22"/>
          <w:szCs w:val="22"/>
        </w:rPr>
      </w:pPr>
    </w:p>
    <w:p w14:paraId="1CE639AD" w14:textId="77777777" w:rsidR="004D0443" w:rsidRDefault="004D0443">
      <w:pPr>
        <w:jc w:val="both"/>
        <w:rPr>
          <w:rFonts w:ascii="Times New Roman" w:eastAsia="Times New Roman" w:hAnsi="Times New Roman" w:cs="Times New Roman"/>
          <w:sz w:val="22"/>
          <w:szCs w:val="22"/>
        </w:rPr>
      </w:pPr>
    </w:p>
    <w:p w14:paraId="1CE639AE" w14:textId="77777777" w:rsidR="004D0443" w:rsidRDefault="004D0443">
      <w:pPr>
        <w:jc w:val="both"/>
        <w:rPr>
          <w:rFonts w:ascii="Times New Roman" w:eastAsia="Times New Roman" w:hAnsi="Times New Roman" w:cs="Times New Roman"/>
          <w:sz w:val="22"/>
          <w:szCs w:val="22"/>
        </w:rPr>
      </w:pPr>
    </w:p>
    <w:p w14:paraId="1CE639AF" w14:textId="77777777" w:rsidR="004D0443" w:rsidRDefault="004D0443">
      <w:pPr>
        <w:jc w:val="both"/>
        <w:rPr>
          <w:rFonts w:ascii="Times New Roman" w:eastAsia="Times New Roman" w:hAnsi="Times New Roman" w:cs="Times New Roman"/>
          <w:sz w:val="22"/>
          <w:szCs w:val="22"/>
        </w:rPr>
      </w:pPr>
    </w:p>
    <w:p w14:paraId="1CE639B0" w14:textId="77777777" w:rsidR="004D0443" w:rsidRDefault="00DA3067">
      <w:pPr>
        <w:jc w:val="both"/>
        <w:rPr>
          <w:rFonts w:ascii="Times New Roman" w:eastAsia="Times New Roman" w:hAnsi="Times New Roman" w:cs="Times New Roman"/>
          <w:b/>
          <w:sz w:val="22"/>
          <w:szCs w:val="22"/>
        </w:rPr>
      </w:pPr>
      <w:r>
        <w:rPr>
          <w:rFonts w:ascii="Times New Roman" w:eastAsia="Times New Roman" w:hAnsi="Times New Roman" w:cs="Times New Roman"/>
          <w:b/>
          <w:sz w:val="22"/>
          <w:szCs w:val="22"/>
        </w:rPr>
        <w:t>JULIÁN RODRÍGUEZ SASTOQUE</w:t>
      </w:r>
    </w:p>
    <w:p w14:paraId="1CE639B1"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Concejal de Bogotá D.C.</w:t>
      </w:r>
    </w:p>
    <w:p w14:paraId="1CE639B2"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Partido Alianza Verde.</w:t>
      </w:r>
    </w:p>
    <w:p w14:paraId="1CE639B3" w14:textId="77777777" w:rsidR="004D0443" w:rsidRDefault="004D0443">
      <w:pPr>
        <w:jc w:val="both"/>
        <w:rPr>
          <w:rFonts w:ascii="Times New Roman" w:eastAsia="Times New Roman" w:hAnsi="Times New Roman" w:cs="Times New Roman"/>
          <w:sz w:val="22"/>
          <w:szCs w:val="22"/>
        </w:rPr>
      </w:pPr>
    </w:p>
    <w:p w14:paraId="1CE639B4" w14:textId="77777777" w:rsidR="004D0443" w:rsidRDefault="004D0443">
      <w:pPr>
        <w:jc w:val="both"/>
        <w:rPr>
          <w:rFonts w:ascii="Times New Roman" w:eastAsia="Times New Roman" w:hAnsi="Times New Roman" w:cs="Times New Roman"/>
          <w:sz w:val="22"/>
          <w:szCs w:val="22"/>
        </w:rPr>
      </w:pPr>
    </w:p>
    <w:p w14:paraId="1CE639B5" w14:textId="77777777" w:rsidR="004D0443" w:rsidRDefault="00DA3067">
      <w:pPr>
        <w:spacing w:before="240" w:after="240"/>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9. ARTICULADO</w:t>
      </w:r>
    </w:p>
    <w:p w14:paraId="1CE639B6" w14:textId="77777777" w:rsidR="004D0443" w:rsidRDefault="00DA3067">
      <w:pPr>
        <w:spacing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PROYECTO DE ACUERDO No. _______ DE 2025</w:t>
      </w:r>
    </w:p>
    <w:p w14:paraId="1CE639B7" w14:textId="77777777" w:rsidR="004D0443" w:rsidRDefault="004D0443">
      <w:pPr>
        <w:spacing w:line="276" w:lineRule="auto"/>
        <w:jc w:val="center"/>
        <w:rPr>
          <w:rFonts w:ascii="Times New Roman" w:eastAsia="Times New Roman" w:hAnsi="Times New Roman" w:cs="Times New Roman"/>
          <w:b/>
          <w:sz w:val="22"/>
          <w:szCs w:val="22"/>
        </w:rPr>
      </w:pPr>
    </w:p>
    <w:p w14:paraId="1CE639B8" w14:textId="77777777" w:rsidR="004D0443" w:rsidRDefault="00DA3067">
      <w:pPr>
        <w:spacing w:line="276" w:lineRule="auto"/>
        <w:jc w:val="center"/>
        <w:rPr>
          <w:rFonts w:ascii="Times New Roman" w:eastAsia="Times New Roman" w:hAnsi="Times New Roman" w:cs="Times New Roman"/>
          <w:b/>
          <w:sz w:val="22"/>
          <w:szCs w:val="22"/>
          <w:highlight w:val="cyan"/>
        </w:rPr>
      </w:pPr>
      <w:r>
        <w:rPr>
          <w:rFonts w:ascii="Times New Roman" w:eastAsia="Times New Roman" w:hAnsi="Times New Roman" w:cs="Times New Roman"/>
          <w:b/>
          <w:i/>
          <w:sz w:val="22"/>
          <w:szCs w:val="22"/>
        </w:rPr>
        <w:t>"POR MEDIO DEL CUAL SE FOMENTAN LAS STARTUPS EN EL DISTRITO CAPITAL Y SE DICTAN OTRAS DISPOSICIONES”</w:t>
      </w:r>
    </w:p>
    <w:p w14:paraId="1CE639B9" w14:textId="77777777" w:rsidR="004D0443" w:rsidRDefault="00DA3067">
      <w:pPr>
        <w:spacing w:before="240"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EL CONCEJO DE BOGOTÁ D.C.</w:t>
      </w:r>
    </w:p>
    <w:p w14:paraId="1CE639BA" w14:textId="77777777" w:rsidR="004D0443" w:rsidRDefault="00DA3067">
      <w:pPr>
        <w:spacing w:before="240" w:line="276" w:lineRule="auto"/>
        <w:jc w:val="center"/>
        <w:rPr>
          <w:rFonts w:ascii="Times New Roman" w:eastAsia="Times New Roman" w:hAnsi="Times New Roman" w:cs="Times New Roman"/>
          <w:b/>
          <w:color w:val="FF0000"/>
          <w:sz w:val="22"/>
          <w:szCs w:val="22"/>
        </w:rPr>
      </w:pPr>
      <w:r>
        <w:rPr>
          <w:rFonts w:ascii="Times New Roman" w:eastAsia="Times New Roman" w:hAnsi="Times New Roman" w:cs="Times New Roman"/>
          <w:b/>
          <w:sz w:val="22"/>
          <w:szCs w:val="22"/>
        </w:rPr>
        <w:t>En ejercicio de las facultades que le confiere el numeral 1 del artículo 313 de la Constitución Política de Colombia y el numeral 1 del artículo 12 del Decreto Ley 1421 de 1993</w:t>
      </w:r>
    </w:p>
    <w:p w14:paraId="1CE639BB" w14:textId="77777777" w:rsidR="004D0443" w:rsidRDefault="00DA3067">
      <w:pPr>
        <w:spacing w:before="240" w:line="276" w:lineRule="auto"/>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ACUERDA:</w:t>
      </w:r>
    </w:p>
    <w:p w14:paraId="1CE639BC" w14:textId="77777777" w:rsidR="004D0443" w:rsidRDefault="00DA3067">
      <w:pPr>
        <w:spacing w:before="240" w:after="24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1º. Objeto. </w:t>
      </w:r>
      <w:r>
        <w:rPr>
          <w:rFonts w:ascii="Times New Roman" w:eastAsia="Times New Roman" w:hAnsi="Times New Roman" w:cs="Times New Roman"/>
          <w:sz w:val="22"/>
          <w:szCs w:val="22"/>
        </w:rPr>
        <w:t>El presente Acuerdo tiene por objeto establecer m</w:t>
      </w:r>
      <w:r>
        <w:rPr>
          <w:rFonts w:ascii="Times New Roman" w:eastAsia="Times New Roman" w:hAnsi="Times New Roman" w:cs="Times New Roman"/>
          <w:sz w:val="22"/>
          <w:szCs w:val="22"/>
        </w:rPr>
        <w:t xml:space="preserve">edidas que fomenten, apoyen y fortalezcan la incubación, crecimiento, impulso y consolidación de startups en el Distrito Capital, </w:t>
      </w:r>
      <w:r>
        <w:rPr>
          <w:rFonts w:ascii="Times New Roman" w:eastAsia="Times New Roman" w:hAnsi="Times New Roman" w:cs="Times New Roman"/>
          <w:sz w:val="22"/>
          <w:szCs w:val="22"/>
        </w:rPr>
        <w:lastRenderedPageBreak/>
        <w:t>con el fin de impulsar la innovación, el crecimiento económico, la transformación digital, la competitividad, la productividad</w:t>
      </w:r>
      <w:r>
        <w:rPr>
          <w:rFonts w:ascii="Times New Roman" w:eastAsia="Times New Roman" w:hAnsi="Times New Roman" w:cs="Times New Roman"/>
          <w:sz w:val="22"/>
          <w:szCs w:val="22"/>
        </w:rPr>
        <w:t>, la generación de empleo formal, la sostenibilidad y la internacionalización de la ciudad fomentando la articulación entre la sociedad civil, academia, el sector privado y el sector público, así mismo, para seguir consolidando a Bogotá como el epicentro d</w:t>
      </w:r>
      <w:r>
        <w:rPr>
          <w:rFonts w:ascii="Times New Roman" w:eastAsia="Times New Roman" w:hAnsi="Times New Roman" w:cs="Times New Roman"/>
          <w:sz w:val="22"/>
          <w:szCs w:val="22"/>
        </w:rPr>
        <w:t>e los emprendimientos emergentes en el país y la región.</w:t>
      </w:r>
    </w:p>
    <w:p w14:paraId="1CE639BD" w14:textId="77777777" w:rsidR="004D0443" w:rsidRDefault="00DA3067">
      <w:pPr>
        <w:spacing w:before="240" w:after="240" w:line="256" w:lineRule="auto"/>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2º. Definiciones. </w:t>
      </w:r>
      <w:r>
        <w:rPr>
          <w:rFonts w:ascii="Times New Roman" w:eastAsia="Times New Roman" w:hAnsi="Times New Roman" w:cs="Times New Roman"/>
          <w:sz w:val="22"/>
          <w:szCs w:val="22"/>
        </w:rPr>
        <w:t xml:space="preserve">Para los efectos del presente Acuerdo se tendrán en cuenta las siguientes definiciones: </w:t>
      </w:r>
    </w:p>
    <w:p w14:paraId="1CE639BE" w14:textId="77777777" w:rsidR="004D0443" w:rsidRDefault="00DA3067">
      <w:pPr>
        <w:numPr>
          <w:ilvl w:val="0"/>
          <w:numId w:val="1"/>
        </w:numPr>
        <w:spacing w:before="24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Startup: </w:t>
      </w:r>
      <w:r>
        <w:rPr>
          <w:rFonts w:ascii="Times New Roman" w:eastAsia="Times New Roman" w:hAnsi="Times New Roman" w:cs="Times New Roman"/>
          <w:sz w:val="22"/>
          <w:szCs w:val="22"/>
        </w:rPr>
        <w:t>Empresa emergente caracterizada por su alto potencial de crecimiento, capa</w:t>
      </w:r>
      <w:r>
        <w:rPr>
          <w:rFonts w:ascii="Times New Roman" w:eastAsia="Times New Roman" w:hAnsi="Times New Roman" w:cs="Times New Roman"/>
          <w:sz w:val="22"/>
          <w:szCs w:val="22"/>
        </w:rPr>
        <w:t>cidad de innovación y el acceso a nuevos mercados para ofrecer productos o servicios en los siguientes sectores.</w:t>
      </w:r>
    </w:p>
    <w:p w14:paraId="1CE639BF"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FinTech (Financial Technology):</w:t>
      </w:r>
      <w:r>
        <w:rPr>
          <w:rFonts w:ascii="Times New Roman" w:eastAsia="Times New Roman" w:hAnsi="Times New Roman" w:cs="Times New Roman"/>
          <w:sz w:val="22"/>
          <w:szCs w:val="22"/>
        </w:rPr>
        <w:t xml:space="preserve"> Sector de las startups que integra tecnología y finanzas para ofrecer productos y servicios financieros de mane</w:t>
      </w:r>
      <w:r>
        <w:rPr>
          <w:rFonts w:ascii="Times New Roman" w:eastAsia="Times New Roman" w:hAnsi="Times New Roman" w:cs="Times New Roman"/>
          <w:sz w:val="22"/>
          <w:szCs w:val="22"/>
        </w:rPr>
        <w:t>ra más eficiente y accesible. Incluye plataformas de pago digital, banca en línea, criptomonedas, gestión financiera automatizada, préstamos peer-to-peer, crowdfunding, entre otros. Democratizan el acceso a servicios financieros, permitiendo a personas y e</w:t>
      </w:r>
      <w:r>
        <w:rPr>
          <w:rFonts w:ascii="Times New Roman" w:eastAsia="Times New Roman" w:hAnsi="Times New Roman" w:cs="Times New Roman"/>
          <w:sz w:val="22"/>
          <w:szCs w:val="22"/>
        </w:rPr>
        <w:t>mpresas acceder a crédito y otros servicios sin necesidad de intermediarios tradicionales.</w:t>
      </w:r>
    </w:p>
    <w:p w14:paraId="1CE639C0"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PropTech (Property Technology): </w:t>
      </w:r>
      <w:r>
        <w:rPr>
          <w:rFonts w:ascii="Times New Roman" w:eastAsia="Times New Roman" w:hAnsi="Times New Roman" w:cs="Times New Roman"/>
          <w:sz w:val="22"/>
          <w:szCs w:val="22"/>
        </w:rPr>
        <w:t>Sector de las startups que usa la tecnología para innovar y mejorar el sector inmobiliario. Incluye herramientas para la compra, vent</w:t>
      </w:r>
      <w:r>
        <w:rPr>
          <w:rFonts w:ascii="Times New Roman" w:eastAsia="Times New Roman" w:hAnsi="Times New Roman" w:cs="Times New Roman"/>
          <w:sz w:val="22"/>
          <w:szCs w:val="22"/>
        </w:rPr>
        <w:t>a, alquiler y gestión de propiedades, así como plataformas que permiten a los usuarios acceder a información en tiempo real sobre inmuebles.</w:t>
      </w:r>
    </w:p>
    <w:p w14:paraId="1CE639C1"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EnergyTech (Energy Technology): </w:t>
      </w:r>
      <w:r>
        <w:rPr>
          <w:rFonts w:ascii="Times New Roman" w:eastAsia="Times New Roman" w:hAnsi="Times New Roman" w:cs="Times New Roman"/>
          <w:sz w:val="22"/>
          <w:szCs w:val="22"/>
        </w:rPr>
        <w:t>Sector de las startups que se enfoca en desarrollar soluciones tecnológicas que opt</w:t>
      </w:r>
      <w:r>
        <w:rPr>
          <w:rFonts w:ascii="Times New Roman" w:eastAsia="Times New Roman" w:hAnsi="Times New Roman" w:cs="Times New Roman"/>
          <w:sz w:val="22"/>
          <w:szCs w:val="22"/>
        </w:rPr>
        <w:t>imicen la producción, distribución y consumo de energía. Incluye energías renovables, redes inteligentes, almacenamiento de energía y eficiencia energética. También abarca la reducción del uso de combustibles fósiles y la implementación de tecnologías limp</w:t>
      </w:r>
      <w:r>
        <w:rPr>
          <w:rFonts w:ascii="Times New Roman" w:eastAsia="Times New Roman" w:hAnsi="Times New Roman" w:cs="Times New Roman"/>
          <w:sz w:val="22"/>
          <w:szCs w:val="22"/>
        </w:rPr>
        <w:t>ias para la sostenibilidad energética.</w:t>
      </w:r>
    </w:p>
    <w:p w14:paraId="1CE639C2"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RetailTech (Retail Technology):</w:t>
      </w:r>
      <w:r>
        <w:rPr>
          <w:rFonts w:ascii="Times New Roman" w:eastAsia="Times New Roman" w:hAnsi="Times New Roman" w:cs="Times New Roman"/>
          <w:sz w:val="22"/>
          <w:szCs w:val="22"/>
        </w:rPr>
        <w:t xml:space="preserve"> Sector de las startups que involucra la aplicación de tecnología para transformar el sector minorista. Abarca el comercio electrónico, sistemas de punto de venta avanzados, inteligencia</w:t>
      </w:r>
      <w:r>
        <w:rPr>
          <w:rFonts w:ascii="Times New Roman" w:eastAsia="Times New Roman" w:hAnsi="Times New Roman" w:cs="Times New Roman"/>
          <w:sz w:val="22"/>
          <w:szCs w:val="22"/>
        </w:rPr>
        <w:t xml:space="preserve"> artificial para recomendaciones de compra y gestión automatizada del inventario.</w:t>
      </w:r>
    </w:p>
    <w:p w14:paraId="1CE639C3"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AgTech (Agricultural Technology): </w:t>
      </w:r>
      <w:r>
        <w:rPr>
          <w:rFonts w:ascii="Times New Roman" w:eastAsia="Times New Roman" w:hAnsi="Times New Roman" w:cs="Times New Roman"/>
          <w:sz w:val="22"/>
          <w:szCs w:val="22"/>
        </w:rPr>
        <w:t>Sector de las startups que involucra tecnologías aplicadas a la agricultura con el objetivo de aumentar la eficiencia, la sostenibilidad y l</w:t>
      </w:r>
      <w:r>
        <w:rPr>
          <w:rFonts w:ascii="Times New Roman" w:eastAsia="Times New Roman" w:hAnsi="Times New Roman" w:cs="Times New Roman"/>
          <w:sz w:val="22"/>
          <w:szCs w:val="22"/>
        </w:rPr>
        <w:t>a producción. Incluye agricultura de precisión, automatización de cultivos, uso de drones y sensores para el monitoreo de campos, y software de gestión agrícola.</w:t>
      </w:r>
    </w:p>
    <w:p w14:paraId="1CE639C4"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FoodTech (Food Technology):</w:t>
      </w:r>
      <w:r>
        <w:rPr>
          <w:rFonts w:ascii="Times New Roman" w:eastAsia="Times New Roman" w:hAnsi="Times New Roman" w:cs="Times New Roman"/>
          <w:sz w:val="22"/>
          <w:szCs w:val="22"/>
        </w:rPr>
        <w:t xml:space="preserve"> Sector de las startups que integra la tecnología en la cadena de producción y distribución de alimentos desde el procesamiento hasta la entrega. Abarca innovaciones en la producción de alimentos alternativos hasta la creación de plataformas de distribució</w:t>
      </w:r>
      <w:r>
        <w:rPr>
          <w:rFonts w:ascii="Times New Roman" w:eastAsia="Times New Roman" w:hAnsi="Times New Roman" w:cs="Times New Roman"/>
          <w:sz w:val="22"/>
          <w:szCs w:val="22"/>
        </w:rPr>
        <w:t>n y entrega como delivery de alimentos.</w:t>
      </w:r>
    </w:p>
    <w:p w14:paraId="1CE639C5"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lastRenderedPageBreak/>
        <w:t xml:space="preserve">Mobility Tech (Mobility Technology): </w:t>
      </w:r>
      <w:r>
        <w:rPr>
          <w:rFonts w:ascii="Times New Roman" w:eastAsia="Times New Roman" w:hAnsi="Times New Roman" w:cs="Times New Roman"/>
          <w:sz w:val="22"/>
          <w:szCs w:val="22"/>
        </w:rPr>
        <w:t>Sector de las startups que aplica la tecnología a la movilidad de personas y mercancías, incluyendo vehículos eléctricos, transporte compartido, soluciones de micromovilidad (bici</w:t>
      </w:r>
      <w:r>
        <w:rPr>
          <w:rFonts w:ascii="Times New Roman" w:eastAsia="Times New Roman" w:hAnsi="Times New Roman" w:cs="Times New Roman"/>
          <w:sz w:val="22"/>
          <w:szCs w:val="22"/>
        </w:rPr>
        <w:t>cletas y scooters), y software de gestión del tráfico, con el fin de hacer el transporte más eficiente, ecológico y accesible para las ciudades y los ciudadanos.</w:t>
      </w:r>
    </w:p>
    <w:p w14:paraId="1CE639C6"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Telecom (Telecommunications Technology): </w:t>
      </w:r>
      <w:r>
        <w:rPr>
          <w:rFonts w:ascii="Times New Roman" w:eastAsia="Times New Roman" w:hAnsi="Times New Roman" w:cs="Times New Roman"/>
          <w:sz w:val="22"/>
          <w:szCs w:val="22"/>
        </w:rPr>
        <w:t>Sector de las startups que involucra el uso de tecnol</w:t>
      </w:r>
      <w:r>
        <w:rPr>
          <w:rFonts w:ascii="Times New Roman" w:eastAsia="Times New Roman" w:hAnsi="Times New Roman" w:cs="Times New Roman"/>
          <w:sz w:val="22"/>
          <w:szCs w:val="22"/>
        </w:rPr>
        <w:t>ogías avanzadas para mejorar las comunicaciones a nivel global. Incluye redes de telefonía móvil (como 5G), servicios de internet de alta velocidad, transmisión de datos, y tecnologías relacionadas con la ciberseguridad y la infraestructura digital.</w:t>
      </w:r>
    </w:p>
    <w:p w14:paraId="1CE639C7"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LogTec</w:t>
      </w:r>
      <w:r>
        <w:rPr>
          <w:rFonts w:ascii="Times New Roman" w:eastAsia="Times New Roman" w:hAnsi="Times New Roman" w:cs="Times New Roman"/>
          <w:b/>
          <w:sz w:val="22"/>
          <w:szCs w:val="22"/>
        </w:rPr>
        <w:t>h (Logistics Technology):</w:t>
      </w:r>
      <w:r>
        <w:rPr>
          <w:rFonts w:ascii="Times New Roman" w:eastAsia="Times New Roman" w:hAnsi="Times New Roman" w:cs="Times New Roman"/>
          <w:sz w:val="22"/>
          <w:szCs w:val="22"/>
        </w:rPr>
        <w:t xml:space="preserve"> Sector de las startups que optimiza la logística y la cadena de suministro mediante el uso de tecnologías como el blockchain, la inteligencia artificial y el internet de las cosas (IoT). Las innovaciones en este sector incluyen el</w:t>
      </w:r>
      <w:r>
        <w:rPr>
          <w:rFonts w:ascii="Times New Roman" w:eastAsia="Times New Roman" w:hAnsi="Times New Roman" w:cs="Times New Roman"/>
          <w:sz w:val="22"/>
          <w:szCs w:val="22"/>
        </w:rPr>
        <w:t xml:space="preserve"> rastreo en tiempo real de mercancías, la optimización de rutas de transporte y la automatización de almacenes, con el propósito de mejorar la eficiencia, reducir costos y garantizar una distribución más rápida y segura de bienes.</w:t>
      </w:r>
    </w:p>
    <w:p w14:paraId="1CE639C8"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HealthTech (Health Techno</w:t>
      </w:r>
      <w:r>
        <w:rPr>
          <w:rFonts w:ascii="Times New Roman" w:eastAsia="Times New Roman" w:hAnsi="Times New Roman" w:cs="Times New Roman"/>
          <w:b/>
          <w:sz w:val="22"/>
          <w:szCs w:val="22"/>
        </w:rPr>
        <w:t>logy):</w:t>
      </w:r>
      <w:r>
        <w:rPr>
          <w:rFonts w:ascii="Times New Roman" w:eastAsia="Times New Roman" w:hAnsi="Times New Roman" w:cs="Times New Roman"/>
          <w:sz w:val="22"/>
          <w:szCs w:val="22"/>
        </w:rPr>
        <w:t xml:space="preserve"> Sector de las startups que usa la tecnología para mejorar los servicios de salud. Incluye desde dispositivos médicos portátiles hasta plataformas de telemedicina, aplicaciones móviles de salud y gestión de datos médicos mediante inteligencia artific</w:t>
      </w:r>
      <w:r>
        <w:rPr>
          <w:rFonts w:ascii="Times New Roman" w:eastAsia="Times New Roman" w:hAnsi="Times New Roman" w:cs="Times New Roman"/>
          <w:sz w:val="22"/>
          <w:szCs w:val="22"/>
        </w:rPr>
        <w:t>ial, con el fin de mejorar la calidad de la atención médica, reducir costos y personalizar los tratamientos basados en datos.</w:t>
      </w:r>
    </w:p>
    <w:p w14:paraId="1CE639C9"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CleanTech: </w:t>
      </w:r>
      <w:r>
        <w:rPr>
          <w:rFonts w:ascii="Times New Roman" w:eastAsia="Times New Roman" w:hAnsi="Times New Roman" w:cs="Times New Roman"/>
          <w:sz w:val="22"/>
          <w:szCs w:val="22"/>
        </w:rPr>
        <w:t xml:space="preserve">Sector de las startups que se enfoca en desarrollar tecnologías limpias para minimizar el impacto ambiental y promover </w:t>
      </w:r>
      <w:r>
        <w:rPr>
          <w:rFonts w:ascii="Times New Roman" w:eastAsia="Times New Roman" w:hAnsi="Times New Roman" w:cs="Times New Roman"/>
          <w:sz w:val="22"/>
          <w:szCs w:val="22"/>
        </w:rPr>
        <w:t>la sostenibilidad. Este sector abarca la producción de energía renovable (solar, eólica, geotérmica), el tratamiento de residuos, la gestión del agua, tecnologías de reducción de emisiones de carbono, y el desarrollo de procesos industriales más sostenible</w:t>
      </w:r>
      <w:r>
        <w:rPr>
          <w:rFonts w:ascii="Times New Roman" w:eastAsia="Times New Roman" w:hAnsi="Times New Roman" w:cs="Times New Roman"/>
          <w:sz w:val="22"/>
          <w:szCs w:val="22"/>
        </w:rPr>
        <w:t>s. El objetivo principal es la mitigación del cambio climático y la conservación de recursos naturales mediante la innovación tecnológica.</w:t>
      </w:r>
    </w:p>
    <w:p w14:paraId="1CE639CA"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SaaS: </w:t>
      </w:r>
      <w:r>
        <w:rPr>
          <w:rFonts w:ascii="Times New Roman" w:eastAsia="Times New Roman" w:hAnsi="Times New Roman" w:cs="Times New Roman"/>
          <w:sz w:val="22"/>
          <w:szCs w:val="22"/>
        </w:rPr>
        <w:t>Sector tecnológico en el que las startups ofrecen software como un servicio, alojado en la nube y accesible a través de internet. En lugar de comprar e instalar software en servidores o dispositivos locales, los usuarios acceden a aplicaciones en línea med</w:t>
      </w:r>
      <w:r>
        <w:rPr>
          <w:rFonts w:ascii="Times New Roman" w:eastAsia="Times New Roman" w:hAnsi="Times New Roman" w:cs="Times New Roman"/>
          <w:sz w:val="22"/>
          <w:szCs w:val="22"/>
        </w:rPr>
        <w:t>iante suscripciones.</w:t>
      </w:r>
    </w:p>
    <w:p w14:paraId="1CE639CB"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AgTech:</w:t>
      </w:r>
      <w:r>
        <w:rPr>
          <w:rFonts w:ascii="Times New Roman" w:eastAsia="Times New Roman" w:hAnsi="Times New Roman" w:cs="Times New Roman"/>
          <w:sz w:val="22"/>
          <w:szCs w:val="22"/>
        </w:rPr>
        <w:t xml:space="preserve"> Sector de las startups que aplica tecnologías avanzadas a la agricultura para mejorar la eficiencia, la sostenibilidad y la producción. AgTech incluye la agricultura de precisión (uso de drones, sensores y datos satelitales), a</w:t>
      </w:r>
      <w:r>
        <w:rPr>
          <w:rFonts w:ascii="Times New Roman" w:eastAsia="Times New Roman" w:hAnsi="Times New Roman" w:cs="Times New Roman"/>
          <w:sz w:val="22"/>
          <w:szCs w:val="22"/>
        </w:rPr>
        <w:t>utomatización de procesos agrícolas, biotecnología aplicada a cultivos, y soluciones de gestión de recursos hídricos y nutrientes.</w:t>
      </w:r>
    </w:p>
    <w:p w14:paraId="1CE639CC"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Edtech: </w:t>
      </w:r>
      <w:r>
        <w:rPr>
          <w:rFonts w:ascii="Times New Roman" w:eastAsia="Times New Roman" w:hAnsi="Times New Roman" w:cs="Times New Roman"/>
          <w:sz w:val="22"/>
          <w:szCs w:val="22"/>
        </w:rPr>
        <w:t>Sector de las startups que integra la tecnología en la educación para mejorar el aprendizaje y la enseñanza. EdTech a</w:t>
      </w:r>
      <w:r>
        <w:rPr>
          <w:rFonts w:ascii="Times New Roman" w:eastAsia="Times New Roman" w:hAnsi="Times New Roman" w:cs="Times New Roman"/>
          <w:sz w:val="22"/>
          <w:szCs w:val="22"/>
        </w:rPr>
        <w:t>barca plataformas de aprendizaje en línea, herramientas de enseñanza adaptativa basadas en inteligencia artificial, aplicaciones.</w:t>
      </w:r>
    </w:p>
    <w:p w14:paraId="1CE639CD"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E-Commerce: </w:t>
      </w:r>
      <w:r>
        <w:rPr>
          <w:rFonts w:ascii="Times New Roman" w:eastAsia="Times New Roman" w:hAnsi="Times New Roman" w:cs="Times New Roman"/>
          <w:sz w:val="22"/>
          <w:szCs w:val="22"/>
        </w:rPr>
        <w:t xml:space="preserve">El sector del comercio electrónico incluye startups que utilizan plataformas digitales para facilitar la compra y </w:t>
      </w:r>
      <w:r>
        <w:rPr>
          <w:rFonts w:ascii="Times New Roman" w:eastAsia="Times New Roman" w:hAnsi="Times New Roman" w:cs="Times New Roman"/>
          <w:sz w:val="22"/>
          <w:szCs w:val="22"/>
        </w:rPr>
        <w:t xml:space="preserve">venta de bienes y servicios en línea. Estas empresas crean </w:t>
      </w:r>
      <w:r>
        <w:rPr>
          <w:rFonts w:ascii="Times New Roman" w:eastAsia="Times New Roman" w:hAnsi="Times New Roman" w:cs="Times New Roman"/>
          <w:sz w:val="22"/>
          <w:szCs w:val="22"/>
        </w:rPr>
        <w:lastRenderedPageBreak/>
        <w:t>soluciones para tiendas virtuales, pagos electrónicos, marketing digital, gestión de inventarios y logística de entrega. Abarca desde el comercio entre empresas y consumidores (B2C) hasta el comerc</w:t>
      </w:r>
      <w:r>
        <w:rPr>
          <w:rFonts w:ascii="Times New Roman" w:eastAsia="Times New Roman" w:hAnsi="Times New Roman" w:cs="Times New Roman"/>
          <w:sz w:val="22"/>
          <w:szCs w:val="22"/>
        </w:rPr>
        <w:t>io entre empresas (B2B), brindando acceso a mercados globales. Tecnologías clave incluyen inteligencia artificial para personalización de la experiencia de compra, realidad aumentada para mejorar la visualización de productos, y plataformas de pago seguro.</w:t>
      </w:r>
    </w:p>
    <w:p w14:paraId="1CE639CE"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GovTech (Government Technology): </w:t>
      </w:r>
      <w:r>
        <w:rPr>
          <w:rFonts w:ascii="Times New Roman" w:eastAsia="Times New Roman" w:hAnsi="Times New Roman" w:cs="Times New Roman"/>
          <w:sz w:val="22"/>
          <w:szCs w:val="22"/>
        </w:rPr>
        <w:t>Sector que abarca las startups que desarrollan tecnologías destinadas a mejorar la eficiencia, transparencia y accesibilidad de los servicios gubernamentales. GovTech incluye soluciones para la digitalización de procesos p</w:t>
      </w:r>
      <w:r>
        <w:rPr>
          <w:rFonts w:ascii="Times New Roman" w:eastAsia="Times New Roman" w:hAnsi="Times New Roman" w:cs="Times New Roman"/>
          <w:sz w:val="22"/>
          <w:szCs w:val="22"/>
        </w:rPr>
        <w:t>úblicos, plataformas de participación ciudadana, gestión de datos gubernamentales, automatización de trámites, ciberseguridad en la administración pública y sistemas de votación electrónica. Estas tecnologías buscan modernizar la administración pública, op</w:t>
      </w:r>
      <w:r>
        <w:rPr>
          <w:rFonts w:ascii="Times New Roman" w:eastAsia="Times New Roman" w:hAnsi="Times New Roman" w:cs="Times New Roman"/>
          <w:sz w:val="22"/>
          <w:szCs w:val="22"/>
        </w:rPr>
        <w:t>timizar la toma de decisiones y mejorar la interacción entre los ciudadanos y el Estado.</w:t>
      </w:r>
    </w:p>
    <w:p w14:paraId="1CE639CF"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DeepTech (Tecnología Profunda): </w:t>
      </w:r>
      <w:r>
        <w:rPr>
          <w:rFonts w:ascii="Times New Roman" w:eastAsia="Times New Roman" w:hAnsi="Times New Roman" w:cs="Times New Roman"/>
          <w:sz w:val="22"/>
          <w:szCs w:val="22"/>
        </w:rPr>
        <w:t xml:space="preserve">El sector de la DeepTech incluye startups que desarrollan tecnologías avanzadas y disruptivas basadas en descubrimientos científicos o </w:t>
      </w:r>
      <w:r>
        <w:rPr>
          <w:rFonts w:ascii="Times New Roman" w:eastAsia="Times New Roman" w:hAnsi="Times New Roman" w:cs="Times New Roman"/>
          <w:sz w:val="22"/>
          <w:szCs w:val="22"/>
        </w:rPr>
        <w:t>avances tecnológicos de gran complejidad. Estas innovaciones suelen estar basadas en áreas como la inteligencia artificial, la biotecnología, la nanotecnología, la robótica, el procesamiento cuántico y la ciencia de materiales. A diferencia de otras startu</w:t>
      </w:r>
      <w:r>
        <w:rPr>
          <w:rFonts w:ascii="Times New Roman" w:eastAsia="Times New Roman" w:hAnsi="Times New Roman" w:cs="Times New Roman"/>
          <w:sz w:val="22"/>
          <w:szCs w:val="22"/>
        </w:rPr>
        <w:t>ps tecnológicas, las DeepTech suelen tener un enfoque a largo plazo y están dirigidas a resolver problemas fundamentales en sectores como la salud, la energía, el medio ambiente y la manufactura.</w:t>
      </w:r>
    </w:p>
    <w:p w14:paraId="1CE639D0" w14:textId="77777777" w:rsidR="004D0443" w:rsidRDefault="00DA3067">
      <w:pPr>
        <w:numPr>
          <w:ilvl w:val="0"/>
          <w:numId w:val="1"/>
        </w:numPr>
        <w:spacing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InsurTech (Insurance Technology): </w:t>
      </w:r>
      <w:r>
        <w:rPr>
          <w:rFonts w:ascii="Times New Roman" w:eastAsia="Times New Roman" w:hAnsi="Times New Roman" w:cs="Times New Roman"/>
          <w:sz w:val="22"/>
          <w:szCs w:val="22"/>
        </w:rPr>
        <w:t>Sector de las startups que</w:t>
      </w:r>
      <w:r>
        <w:rPr>
          <w:rFonts w:ascii="Times New Roman" w:eastAsia="Times New Roman" w:hAnsi="Times New Roman" w:cs="Times New Roman"/>
          <w:sz w:val="22"/>
          <w:szCs w:val="22"/>
        </w:rPr>
        <w:t xml:space="preserve"> integra la tecnología en la industria aseguradora para ofrecer productos y servicios de seguros más personalizados, accesibles y eficientes. InsurTech incluye innovaciones como la automatización de procesos de suscripción, plataformas para cotización y co</w:t>
      </w:r>
      <w:r>
        <w:rPr>
          <w:rFonts w:ascii="Times New Roman" w:eastAsia="Times New Roman" w:hAnsi="Times New Roman" w:cs="Times New Roman"/>
          <w:sz w:val="22"/>
          <w:szCs w:val="22"/>
        </w:rPr>
        <w:t>mparación de seguros, análisis de datos en tiempo real para evaluar riesgos, seguros basados en el uso (Usage-based Insurance), y el uso de blockchain para la gestión de reclamaciones. Su objetivo es hacer más transparente y eficiente el acceso a los segur</w:t>
      </w:r>
      <w:r>
        <w:rPr>
          <w:rFonts w:ascii="Times New Roman" w:eastAsia="Times New Roman" w:hAnsi="Times New Roman" w:cs="Times New Roman"/>
          <w:sz w:val="22"/>
          <w:szCs w:val="22"/>
        </w:rPr>
        <w:t>os, facilitando una mayor personalización para los consumidores.</w:t>
      </w:r>
    </w:p>
    <w:p w14:paraId="1CE639D1" w14:textId="77777777" w:rsidR="004D0443" w:rsidRDefault="00DA3067">
      <w:pPr>
        <w:numPr>
          <w:ilvl w:val="0"/>
          <w:numId w:val="1"/>
        </w:numPr>
        <w:spacing w:after="24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MarTech (Marketing Technology): </w:t>
      </w:r>
      <w:r>
        <w:rPr>
          <w:rFonts w:ascii="Times New Roman" w:eastAsia="Times New Roman" w:hAnsi="Times New Roman" w:cs="Times New Roman"/>
          <w:sz w:val="22"/>
          <w:szCs w:val="22"/>
        </w:rPr>
        <w:t>Sector de las startups que desarrollan tecnologías para mejorar y optimizar el marketing digital y tradicional. MarTech abarca soluciones tecnológicas que incl</w:t>
      </w:r>
      <w:r>
        <w:rPr>
          <w:rFonts w:ascii="Times New Roman" w:eastAsia="Times New Roman" w:hAnsi="Times New Roman" w:cs="Times New Roman"/>
          <w:sz w:val="22"/>
          <w:szCs w:val="22"/>
        </w:rPr>
        <w:t>uyen la automatización de marketing, plataformas de gestión de relaciones con clientes (CRM), análisis de datos para campañas publicitarias, personalización de experiencias de usuario, y uso de inteligencia artificial para la creación de contenido y segmen</w:t>
      </w:r>
      <w:r>
        <w:rPr>
          <w:rFonts w:ascii="Times New Roman" w:eastAsia="Times New Roman" w:hAnsi="Times New Roman" w:cs="Times New Roman"/>
          <w:sz w:val="22"/>
          <w:szCs w:val="22"/>
        </w:rPr>
        <w:t>tación de audiencias. Estas tecnologías permiten a las empresas llegar de manera más efectiva a sus clientes, optimizar sus campañas y mejorar el retorno de inversión (ROI).</w:t>
      </w:r>
    </w:p>
    <w:p w14:paraId="1CE639D2" w14:textId="77777777" w:rsidR="004D0443" w:rsidRDefault="00DA3067">
      <w:pPr>
        <w:spacing w:after="16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3º. Estrategia Distrital de Inversión en Startups. </w:t>
      </w:r>
      <w:r>
        <w:rPr>
          <w:rFonts w:ascii="Times New Roman" w:eastAsia="Times New Roman" w:hAnsi="Times New Roman" w:cs="Times New Roman"/>
          <w:sz w:val="22"/>
          <w:szCs w:val="22"/>
        </w:rPr>
        <w:t>La Administración Dist</w:t>
      </w:r>
      <w:r>
        <w:rPr>
          <w:rFonts w:ascii="Times New Roman" w:eastAsia="Times New Roman" w:hAnsi="Times New Roman" w:cs="Times New Roman"/>
          <w:sz w:val="22"/>
          <w:szCs w:val="22"/>
        </w:rPr>
        <w:t>rital, en cabeza de la Secretaría Distrital de Desarrollo Económico y en coordinación con las demás entidades competentes, propenderá por la implementación de una estrategia de incentivos, estímulos y fomento que apoye la incubación, crecimiento, aceleraci</w:t>
      </w:r>
      <w:r>
        <w:rPr>
          <w:rFonts w:ascii="Times New Roman" w:eastAsia="Times New Roman" w:hAnsi="Times New Roman" w:cs="Times New Roman"/>
          <w:sz w:val="22"/>
          <w:szCs w:val="22"/>
        </w:rPr>
        <w:t xml:space="preserve">ón, fortalecimiento y sostenibilidad de startups en la </w:t>
      </w:r>
      <w:r>
        <w:rPr>
          <w:rFonts w:ascii="Times New Roman" w:eastAsia="Times New Roman" w:hAnsi="Times New Roman" w:cs="Times New Roman"/>
          <w:sz w:val="22"/>
          <w:szCs w:val="22"/>
        </w:rPr>
        <w:lastRenderedPageBreak/>
        <w:t>ciudad en sectores estratégicos como HealthTech, LogTech, Telecom, FoodTech, RetailTech, EnergyTech, CleanTech, Edtech, AgTech, PropTech, Fintech, entre otros sectores de las Startups.</w:t>
      </w:r>
    </w:p>
    <w:p w14:paraId="1CE639D3" w14:textId="77777777" w:rsidR="004D0443" w:rsidRDefault="00DA3067">
      <w:pPr>
        <w:spacing w:after="16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Parágrafo 1.</w:t>
      </w:r>
      <w:r>
        <w:rPr>
          <w:rFonts w:ascii="Times New Roman" w:eastAsia="Times New Roman" w:hAnsi="Times New Roman" w:cs="Times New Roman"/>
          <w:sz w:val="22"/>
          <w:szCs w:val="22"/>
        </w:rPr>
        <w:t xml:space="preserve"> Las</w:t>
      </w:r>
      <w:r>
        <w:rPr>
          <w:rFonts w:ascii="Times New Roman" w:eastAsia="Times New Roman" w:hAnsi="Times New Roman" w:cs="Times New Roman"/>
          <w:sz w:val="22"/>
          <w:szCs w:val="22"/>
        </w:rPr>
        <w:t xml:space="preserve"> startups beneficiarias deberán demostrar un impacto positivo para la ciudad y contar con potencial de escalar a nivel regional, nacional e internacional.</w:t>
      </w:r>
    </w:p>
    <w:p w14:paraId="1CE639D4" w14:textId="77777777" w:rsidR="004D0443" w:rsidRDefault="00DA3067">
      <w:pPr>
        <w:spacing w:after="16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Parágrafo 2.</w:t>
      </w:r>
      <w:r>
        <w:rPr>
          <w:rFonts w:ascii="Times New Roman" w:eastAsia="Times New Roman" w:hAnsi="Times New Roman" w:cs="Times New Roman"/>
          <w:sz w:val="22"/>
          <w:szCs w:val="22"/>
        </w:rPr>
        <w:t xml:space="preserve"> La Administración Distrital promoverá convenios y alianzas con el sector público y priva</w:t>
      </w:r>
      <w:r>
        <w:rPr>
          <w:rFonts w:ascii="Times New Roman" w:eastAsia="Times New Roman" w:hAnsi="Times New Roman" w:cs="Times New Roman"/>
          <w:sz w:val="22"/>
          <w:szCs w:val="22"/>
        </w:rPr>
        <w:t>do, así como con organizaciones internacionales para facilitar el acceso a recursos financieros y redes de inversión por parte de las startups de la ciudad.</w:t>
      </w:r>
    </w:p>
    <w:p w14:paraId="1CE639D5" w14:textId="77777777" w:rsidR="004D0443" w:rsidRDefault="00DA3067">
      <w:pPr>
        <w:spacing w:after="16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4º. Incentivos por la generación de empleo. </w:t>
      </w:r>
      <w:r>
        <w:rPr>
          <w:rFonts w:ascii="Times New Roman" w:eastAsia="Times New Roman" w:hAnsi="Times New Roman" w:cs="Times New Roman"/>
          <w:sz w:val="22"/>
          <w:szCs w:val="22"/>
        </w:rPr>
        <w:t>La Administración Distrital, en cabeza de la S</w:t>
      </w:r>
      <w:r>
        <w:rPr>
          <w:rFonts w:ascii="Times New Roman" w:eastAsia="Times New Roman" w:hAnsi="Times New Roman" w:cs="Times New Roman"/>
          <w:sz w:val="22"/>
          <w:szCs w:val="22"/>
        </w:rPr>
        <w:t>ecretaría Distrital de Desarrollo Económico, incluirá a las startups de la ciudad como beneficiarias de los incentivos por la generación de empleo vigentes, incluyendo los referentes al subsidio a la nómina.</w:t>
      </w:r>
    </w:p>
    <w:p w14:paraId="1CE639D6" w14:textId="77777777" w:rsidR="004D0443" w:rsidRDefault="00DA3067">
      <w:pPr>
        <w:spacing w:before="240" w:after="24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5º. Asistencia técnica y mentoría. </w:t>
      </w:r>
      <w:r>
        <w:rPr>
          <w:rFonts w:ascii="Times New Roman" w:eastAsia="Times New Roman" w:hAnsi="Times New Roman" w:cs="Times New Roman"/>
          <w:sz w:val="22"/>
          <w:szCs w:val="22"/>
        </w:rPr>
        <w:t>La A</w:t>
      </w:r>
      <w:r>
        <w:rPr>
          <w:rFonts w:ascii="Times New Roman" w:eastAsia="Times New Roman" w:hAnsi="Times New Roman" w:cs="Times New Roman"/>
          <w:sz w:val="22"/>
          <w:szCs w:val="22"/>
        </w:rPr>
        <w:t>dministración Distrital a través de las entidades competentes brindará asistencia técnica, mentoría, asesoría legal y financiera, así como acceso a redes internacionales de innovación para las startups domiciliadas en la ciudad, incluyendo las que están en</w:t>
      </w:r>
      <w:r>
        <w:rPr>
          <w:rFonts w:ascii="Times New Roman" w:eastAsia="Times New Roman" w:hAnsi="Times New Roman" w:cs="Times New Roman"/>
          <w:sz w:val="22"/>
          <w:szCs w:val="22"/>
        </w:rPr>
        <w:t xml:space="preserve"> proceso de consolidación. Para ello, podrá establecer alianzas con incubadoras, aceleradoras, instituciones de educación superior, organismos internacionales, agencias de innovación, entre otros actores.</w:t>
      </w:r>
    </w:p>
    <w:p w14:paraId="1CE639D7" w14:textId="77777777" w:rsidR="004D0443" w:rsidRDefault="00DA3067">
      <w:pPr>
        <w:spacing w:before="240" w:after="24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6º. Acceso a infraestructura tecnológica. </w:t>
      </w:r>
      <w:r>
        <w:rPr>
          <w:rFonts w:ascii="Times New Roman" w:eastAsia="Times New Roman" w:hAnsi="Times New Roman" w:cs="Times New Roman"/>
          <w:sz w:val="22"/>
          <w:szCs w:val="22"/>
        </w:rPr>
        <w:t>La Administración Distrital, a través de las entidades competentes, promoverá que las startups de la ciudad tengan acceso a infraestructura tecnológica avanzada, redes de alta velocidad, laboratorios de innovación y espacios de coworking ya existentes.</w:t>
      </w:r>
    </w:p>
    <w:p w14:paraId="1CE639D8" w14:textId="77777777" w:rsidR="004D0443" w:rsidRDefault="00DA3067">
      <w:pPr>
        <w:spacing w:before="240" w:after="240" w:line="256" w:lineRule="auto"/>
        <w:jc w:val="both"/>
        <w:rPr>
          <w:rFonts w:ascii="Times New Roman" w:eastAsia="Times New Roman" w:hAnsi="Times New Roman" w:cs="Times New Roman"/>
          <w:highlight w:val="cyan"/>
        </w:rPr>
      </w:pPr>
      <w:r>
        <w:rPr>
          <w:rFonts w:ascii="Times New Roman" w:eastAsia="Times New Roman" w:hAnsi="Times New Roman" w:cs="Times New Roman"/>
          <w:b/>
          <w:sz w:val="22"/>
          <w:szCs w:val="22"/>
        </w:rPr>
        <w:t>Par</w:t>
      </w:r>
      <w:r>
        <w:rPr>
          <w:rFonts w:ascii="Times New Roman" w:eastAsia="Times New Roman" w:hAnsi="Times New Roman" w:cs="Times New Roman"/>
          <w:b/>
          <w:sz w:val="22"/>
          <w:szCs w:val="22"/>
        </w:rPr>
        <w:t>ágrafo.</w:t>
      </w:r>
      <w:r>
        <w:rPr>
          <w:rFonts w:ascii="Times New Roman" w:eastAsia="Times New Roman" w:hAnsi="Times New Roman" w:cs="Times New Roman"/>
          <w:sz w:val="22"/>
          <w:szCs w:val="22"/>
        </w:rPr>
        <w:t xml:space="preserve"> Esta infraestructura tecnológica podrá ser ofrecida en el futuro Campus de Ciencia, Tecnología e Innovación de Bogotá.</w:t>
      </w:r>
    </w:p>
    <w:p w14:paraId="1CE639D9" w14:textId="77777777" w:rsidR="004D0443" w:rsidRDefault="00DA3067">
      <w:pPr>
        <w:spacing w:after="16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7º. Fomento de startups en colegios y universidades. </w:t>
      </w:r>
      <w:r>
        <w:rPr>
          <w:rFonts w:ascii="Times New Roman" w:eastAsia="Times New Roman" w:hAnsi="Times New Roman" w:cs="Times New Roman"/>
          <w:sz w:val="22"/>
          <w:szCs w:val="22"/>
        </w:rPr>
        <w:t>La Administración Distrital, en cabeza de la Secretaría Distrital d</w:t>
      </w:r>
      <w:r>
        <w:rPr>
          <w:rFonts w:ascii="Times New Roman" w:eastAsia="Times New Roman" w:hAnsi="Times New Roman" w:cs="Times New Roman"/>
          <w:sz w:val="22"/>
          <w:szCs w:val="22"/>
        </w:rPr>
        <w:t>e Desarrollo Económico, la Secretaría de Educación del Distrito y en coordinación con las demás entidades competentes, implementará un plan, programa, proyecto y/o estrategia que impulse la creación de startups en las instituciones de educación básica, med</w:t>
      </w:r>
      <w:r>
        <w:rPr>
          <w:rFonts w:ascii="Times New Roman" w:eastAsia="Times New Roman" w:hAnsi="Times New Roman" w:cs="Times New Roman"/>
          <w:sz w:val="22"/>
          <w:szCs w:val="22"/>
        </w:rPr>
        <w:t>ia y superior de Bogotá, a través de la cual se facilite su participación en el mercado y su potencial comercial.</w:t>
      </w:r>
    </w:p>
    <w:p w14:paraId="1CE639DA" w14:textId="77777777" w:rsidR="004D0443" w:rsidRDefault="00DA3067">
      <w:pPr>
        <w:spacing w:before="240" w:after="240" w:line="256" w:lineRule="auto"/>
        <w:jc w:val="both"/>
        <w:rPr>
          <w:sz w:val="22"/>
          <w:szCs w:val="22"/>
        </w:rPr>
      </w:pPr>
      <w:r>
        <w:rPr>
          <w:rFonts w:ascii="Times New Roman" w:eastAsia="Times New Roman" w:hAnsi="Times New Roman" w:cs="Times New Roman"/>
          <w:b/>
          <w:sz w:val="22"/>
          <w:szCs w:val="22"/>
        </w:rPr>
        <w:t xml:space="preserve">Parágrafo. </w:t>
      </w:r>
      <w:r>
        <w:rPr>
          <w:rFonts w:ascii="Times New Roman" w:eastAsia="Times New Roman" w:hAnsi="Times New Roman" w:cs="Times New Roman"/>
          <w:sz w:val="22"/>
          <w:szCs w:val="22"/>
        </w:rPr>
        <w:t>Las startups que surjan de las instituciones de educación básica, media y superior podrán tener acceso prioritario a espacios de co</w:t>
      </w:r>
      <w:r>
        <w:rPr>
          <w:rFonts w:ascii="Times New Roman" w:eastAsia="Times New Roman" w:hAnsi="Times New Roman" w:cs="Times New Roman"/>
          <w:sz w:val="22"/>
          <w:szCs w:val="22"/>
        </w:rPr>
        <w:t xml:space="preserve">working, asistencia técnica, prácticas de innovación abierta, </w:t>
      </w:r>
      <w:r>
        <w:rPr>
          <w:rFonts w:ascii="Times New Roman" w:eastAsia="Times New Roman" w:hAnsi="Times New Roman" w:cs="Times New Roman"/>
          <w:sz w:val="22"/>
          <w:szCs w:val="22"/>
        </w:rPr>
        <w:lastRenderedPageBreak/>
        <w:t>mentoría, incentivos, estímulos y fomento por parte de la Administración Distrital y sus aliados estratégicos en el sector privado y la academia.</w:t>
      </w:r>
    </w:p>
    <w:p w14:paraId="1CE639DB" w14:textId="77777777" w:rsidR="004D0443" w:rsidRDefault="00DA3067">
      <w:pPr>
        <w:pBdr>
          <w:top w:val="nil"/>
          <w:left w:val="nil"/>
          <w:bottom w:val="nil"/>
          <w:right w:val="nil"/>
          <w:between w:val="nil"/>
        </w:pBdr>
        <w:spacing w:before="240" w:after="40" w:line="256" w:lineRule="auto"/>
        <w:jc w:val="both"/>
        <w:rPr>
          <w:color w:val="666666"/>
        </w:rPr>
      </w:pPr>
      <w:bookmarkStart w:id="13" w:name="_heading=h.30j0zll" w:colFirst="0" w:colLast="0"/>
      <w:bookmarkEnd w:id="13"/>
      <w:r>
        <w:rPr>
          <w:rFonts w:ascii="Times New Roman" w:eastAsia="Times New Roman" w:hAnsi="Times New Roman" w:cs="Times New Roman"/>
          <w:b/>
          <w:color w:val="000000"/>
          <w:sz w:val="22"/>
          <w:szCs w:val="22"/>
        </w:rPr>
        <w:t xml:space="preserve">Artículo 8º. Incentivos tributarios. </w:t>
      </w:r>
      <w:r>
        <w:rPr>
          <w:rFonts w:ascii="Times New Roman" w:eastAsia="Times New Roman" w:hAnsi="Times New Roman" w:cs="Times New Roman"/>
          <w:color w:val="000000"/>
          <w:sz w:val="22"/>
          <w:szCs w:val="22"/>
        </w:rPr>
        <w:t xml:space="preserve">La Administración Distrital, en cabeza de la Secretaría Distrital de Hacienda y en coordinación con las demás entidades competentes, realizará un estudio </w:t>
      </w:r>
      <w:r>
        <w:rPr>
          <w:rFonts w:ascii="Times New Roman" w:eastAsia="Times New Roman" w:hAnsi="Times New Roman" w:cs="Times New Roman"/>
          <w:sz w:val="22"/>
          <w:szCs w:val="22"/>
        </w:rPr>
        <w:t>sobre</w:t>
      </w:r>
      <w:r>
        <w:rPr>
          <w:rFonts w:ascii="Times New Roman" w:eastAsia="Times New Roman" w:hAnsi="Times New Roman" w:cs="Times New Roman"/>
          <w:color w:val="000000"/>
          <w:sz w:val="22"/>
          <w:szCs w:val="22"/>
        </w:rPr>
        <w:t xml:space="preserve"> la posibilidad de ofrecer incentivos tributarios para la creación y el desarrollo de startups en</w:t>
      </w:r>
      <w:r>
        <w:rPr>
          <w:rFonts w:ascii="Times New Roman" w:eastAsia="Times New Roman" w:hAnsi="Times New Roman" w:cs="Times New Roman"/>
          <w:color w:val="000000"/>
          <w:sz w:val="22"/>
          <w:szCs w:val="22"/>
        </w:rPr>
        <w:t xml:space="preserve"> Bogotá, con el fin de consolidar a la ciudad como el epicentro de los emprendimiento emergentes en el país.</w:t>
      </w:r>
      <w:r>
        <w:rPr>
          <w:rFonts w:ascii="Times New Roman" w:eastAsia="Times New Roman" w:hAnsi="Times New Roman" w:cs="Times New Roman"/>
          <w:b/>
          <w:color w:val="000000"/>
          <w:sz w:val="22"/>
          <w:szCs w:val="22"/>
        </w:rPr>
        <w:br/>
      </w:r>
      <w:r>
        <w:rPr>
          <w:rFonts w:ascii="Times New Roman" w:eastAsia="Times New Roman" w:hAnsi="Times New Roman" w:cs="Times New Roman"/>
          <w:b/>
          <w:color w:val="000000"/>
          <w:sz w:val="22"/>
          <w:szCs w:val="22"/>
        </w:rPr>
        <w:br/>
        <w:t xml:space="preserve">Artículo 9°. Innovación y participación en eventos nacionales e internacionales. </w:t>
      </w:r>
      <w:r>
        <w:rPr>
          <w:rFonts w:ascii="Times New Roman" w:eastAsia="Times New Roman" w:hAnsi="Times New Roman" w:cs="Times New Roman"/>
          <w:color w:val="000000"/>
          <w:sz w:val="22"/>
          <w:szCs w:val="22"/>
        </w:rPr>
        <w:t>La Administración Distrital a través de las entidades competentes</w:t>
      </w:r>
      <w:r>
        <w:rPr>
          <w:rFonts w:ascii="Times New Roman" w:eastAsia="Times New Roman" w:hAnsi="Times New Roman" w:cs="Times New Roman"/>
          <w:color w:val="000000"/>
          <w:sz w:val="22"/>
          <w:szCs w:val="22"/>
        </w:rPr>
        <w:t xml:space="preserve"> apoyará la participación de startups bogotanas en eventos nacionales e internacionales de innovación, así mismo, promoverá su realización en la ciudad, con el fin de impulsar el turismo, atraer inversión extranjera y facilitar el intercambio de experienci</w:t>
      </w:r>
      <w:r>
        <w:rPr>
          <w:rFonts w:ascii="Times New Roman" w:eastAsia="Times New Roman" w:hAnsi="Times New Roman" w:cs="Times New Roman"/>
          <w:color w:val="000000"/>
          <w:sz w:val="22"/>
          <w:szCs w:val="22"/>
        </w:rPr>
        <w:t>as en pro de la internacionalización de las iniciativas.</w:t>
      </w:r>
    </w:p>
    <w:p w14:paraId="1CE639DC" w14:textId="77777777" w:rsidR="004D0443" w:rsidRDefault="00DA3067">
      <w:pPr>
        <w:pBdr>
          <w:top w:val="nil"/>
          <w:left w:val="nil"/>
          <w:bottom w:val="nil"/>
          <w:right w:val="nil"/>
          <w:between w:val="nil"/>
        </w:pBdr>
        <w:spacing w:before="220" w:after="40" w:line="256" w:lineRule="auto"/>
        <w:jc w:val="both"/>
        <w:rPr>
          <w:rFonts w:ascii="Times New Roman" w:eastAsia="Times New Roman" w:hAnsi="Times New Roman" w:cs="Times New Roman"/>
          <w:color w:val="000000"/>
          <w:sz w:val="22"/>
          <w:szCs w:val="22"/>
        </w:rPr>
      </w:pPr>
      <w:bookmarkStart w:id="14" w:name="_heading=h.3znysh7" w:colFirst="0" w:colLast="0"/>
      <w:bookmarkEnd w:id="14"/>
      <w:r>
        <w:rPr>
          <w:rFonts w:ascii="Times New Roman" w:eastAsia="Times New Roman" w:hAnsi="Times New Roman" w:cs="Times New Roman"/>
          <w:b/>
          <w:color w:val="000000"/>
          <w:sz w:val="22"/>
          <w:szCs w:val="22"/>
        </w:rPr>
        <w:t xml:space="preserve">Artículo 10º. Plataforma Distrital de Conexión Startups - Academia - Sector Privado. </w:t>
      </w:r>
      <w:r>
        <w:rPr>
          <w:rFonts w:ascii="Times New Roman" w:eastAsia="Times New Roman" w:hAnsi="Times New Roman" w:cs="Times New Roman"/>
          <w:color w:val="000000"/>
          <w:sz w:val="22"/>
          <w:szCs w:val="22"/>
        </w:rPr>
        <w:t>La Administración Distrital,</w:t>
      </w:r>
      <w:r>
        <w:rPr>
          <w:rFonts w:ascii="Times New Roman" w:eastAsia="Times New Roman" w:hAnsi="Times New Roman" w:cs="Times New Roman"/>
          <w:sz w:val="22"/>
          <w:szCs w:val="22"/>
        </w:rPr>
        <w:t xml:space="preserve"> </w:t>
      </w:r>
      <w:r>
        <w:rPr>
          <w:rFonts w:ascii="Times New Roman" w:eastAsia="Times New Roman" w:hAnsi="Times New Roman" w:cs="Times New Roman"/>
          <w:color w:val="000000"/>
          <w:sz w:val="22"/>
          <w:szCs w:val="22"/>
        </w:rPr>
        <w:t xml:space="preserve">a través de las entidades competentes, creará una plataforma digital que conecte a las startups de la ciudad con instituciones de educación superior, centros de investigación, inversionistas y empresas privadas, con el objetivo de fomentar la colaboración </w:t>
      </w:r>
      <w:r>
        <w:rPr>
          <w:rFonts w:ascii="Times New Roman" w:eastAsia="Times New Roman" w:hAnsi="Times New Roman" w:cs="Times New Roman"/>
          <w:color w:val="000000"/>
          <w:sz w:val="22"/>
          <w:szCs w:val="22"/>
        </w:rPr>
        <w:t>y transferencia de conocimiento.</w:t>
      </w:r>
    </w:p>
    <w:p w14:paraId="1CE639DD" w14:textId="77777777" w:rsidR="004D0443" w:rsidRDefault="00DA3067">
      <w:pPr>
        <w:pBdr>
          <w:top w:val="nil"/>
          <w:left w:val="nil"/>
          <w:bottom w:val="nil"/>
          <w:right w:val="nil"/>
          <w:between w:val="nil"/>
        </w:pBdr>
        <w:spacing w:before="220" w:after="40" w:line="256" w:lineRule="auto"/>
        <w:jc w:val="both"/>
        <w:rPr>
          <w:rFonts w:ascii="Times New Roman" w:eastAsia="Times New Roman" w:hAnsi="Times New Roman" w:cs="Times New Roman"/>
          <w:color w:val="000000"/>
          <w:sz w:val="22"/>
          <w:szCs w:val="22"/>
        </w:rPr>
      </w:pPr>
      <w:bookmarkStart w:id="15" w:name="_heading=h.2et92p0" w:colFirst="0" w:colLast="0"/>
      <w:bookmarkEnd w:id="15"/>
      <w:r>
        <w:rPr>
          <w:rFonts w:ascii="Times New Roman" w:eastAsia="Times New Roman" w:hAnsi="Times New Roman" w:cs="Times New Roman"/>
          <w:b/>
          <w:color w:val="000000"/>
          <w:sz w:val="22"/>
          <w:szCs w:val="22"/>
        </w:rPr>
        <w:t>Parágrafo 1.</w:t>
      </w:r>
      <w:r>
        <w:rPr>
          <w:rFonts w:ascii="Times New Roman" w:eastAsia="Times New Roman" w:hAnsi="Times New Roman" w:cs="Times New Roman"/>
          <w:color w:val="000000"/>
          <w:sz w:val="22"/>
          <w:szCs w:val="22"/>
        </w:rPr>
        <w:t xml:space="preserve"> La plataforma de la que trata el presente artículo incluirá una base de datos abiertos de proyectos de innovación, soluciones tecnológicas y un sistema de matchmaking entre startups y potenciales inversores. </w:t>
      </w:r>
    </w:p>
    <w:p w14:paraId="1CE639DE" w14:textId="77777777" w:rsidR="004D0443" w:rsidRDefault="00DA3067">
      <w:pPr>
        <w:pBdr>
          <w:top w:val="nil"/>
          <w:left w:val="nil"/>
          <w:bottom w:val="nil"/>
          <w:right w:val="nil"/>
          <w:between w:val="nil"/>
        </w:pBdr>
        <w:spacing w:before="220" w:after="40" w:line="256" w:lineRule="auto"/>
        <w:jc w:val="both"/>
        <w:rPr>
          <w:rFonts w:ascii="Times New Roman" w:eastAsia="Times New Roman" w:hAnsi="Times New Roman" w:cs="Times New Roman"/>
          <w:color w:val="000000"/>
          <w:sz w:val="22"/>
          <w:szCs w:val="22"/>
        </w:rPr>
      </w:pPr>
      <w:bookmarkStart w:id="16" w:name="_heading=h.yk4d1olq3pe8" w:colFirst="0" w:colLast="0"/>
      <w:bookmarkEnd w:id="16"/>
      <w:r>
        <w:rPr>
          <w:rFonts w:ascii="Times New Roman" w:eastAsia="Times New Roman" w:hAnsi="Times New Roman" w:cs="Times New Roman"/>
          <w:b/>
          <w:color w:val="000000"/>
          <w:sz w:val="22"/>
          <w:szCs w:val="22"/>
        </w:rPr>
        <w:t>P</w:t>
      </w:r>
      <w:r>
        <w:rPr>
          <w:rFonts w:ascii="Times New Roman" w:eastAsia="Times New Roman" w:hAnsi="Times New Roman" w:cs="Times New Roman"/>
          <w:b/>
          <w:color w:val="000000"/>
          <w:sz w:val="22"/>
          <w:szCs w:val="22"/>
        </w:rPr>
        <w:t xml:space="preserve">arágrafo 2. </w:t>
      </w:r>
      <w:r>
        <w:rPr>
          <w:rFonts w:ascii="Times New Roman" w:eastAsia="Times New Roman" w:hAnsi="Times New Roman" w:cs="Times New Roman"/>
          <w:color w:val="000000"/>
          <w:sz w:val="22"/>
          <w:szCs w:val="22"/>
        </w:rPr>
        <w:t>La plataforma de la que trata el presente artículo contará con un directorio georeferenciado para cada sector de las startups de la ciudad.</w:t>
      </w:r>
    </w:p>
    <w:p w14:paraId="1CE639DF" w14:textId="77777777" w:rsidR="004D0443" w:rsidRDefault="004D0443">
      <w:pPr>
        <w:jc w:val="both"/>
        <w:rPr>
          <w:rFonts w:ascii="Times New Roman" w:eastAsia="Times New Roman" w:hAnsi="Times New Roman" w:cs="Times New Roman"/>
          <w:sz w:val="22"/>
          <w:szCs w:val="22"/>
        </w:rPr>
      </w:pPr>
    </w:p>
    <w:p w14:paraId="1CE639E0"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Parágrafo 3. </w:t>
      </w:r>
      <w:r>
        <w:rPr>
          <w:rFonts w:ascii="Times New Roman" w:eastAsia="Times New Roman" w:hAnsi="Times New Roman" w:cs="Times New Roman"/>
          <w:sz w:val="22"/>
          <w:szCs w:val="22"/>
        </w:rPr>
        <w:t>Esta plataforma digital podrá estar integrada a ScaleupBog de Invest In Bogotá o la que ha</w:t>
      </w:r>
      <w:r>
        <w:rPr>
          <w:rFonts w:ascii="Times New Roman" w:eastAsia="Times New Roman" w:hAnsi="Times New Roman" w:cs="Times New Roman"/>
          <w:sz w:val="22"/>
          <w:szCs w:val="22"/>
        </w:rPr>
        <w:t>ga sus veces.</w:t>
      </w:r>
    </w:p>
    <w:p w14:paraId="1CE639E1" w14:textId="77777777" w:rsidR="004D0443" w:rsidRDefault="004D0443">
      <w:pPr>
        <w:jc w:val="both"/>
        <w:rPr>
          <w:rFonts w:ascii="Times New Roman" w:eastAsia="Times New Roman" w:hAnsi="Times New Roman" w:cs="Times New Roman"/>
          <w:sz w:val="22"/>
          <w:szCs w:val="22"/>
        </w:rPr>
      </w:pPr>
    </w:p>
    <w:p w14:paraId="1CE639E2"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Artículo 11º. Capacitación para Startups Fintech.</w:t>
      </w:r>
      <w:r>
        <w:rPr>
          <w:rFonts w:ascii="Times New Roman" w:eastAsia="Times New Roman" w:hAnsi="Times New Roman" w:cs="Times New Roman"/>
          <w:sz w:val="22"/>
          <w:szCs w:val="22"/>
        </w:rPr>
        <w:t xml:space="preserve"> La Administración Distrital en articulación con instituciones de educación superior, el sector privado y las entidades del orden nacional, contará con una oferta de capacitación para startups</w:t>
      </w:r>
      <w:r>
        <w:rPr>
          <w:rFonts w:ascii="Times New Roman" w:eastAsia="Times New Roman" w:hAnsi="Times New Roman" w:cs="Times New Roman"/>
          <w:sz w:val="22"/>
          <w:szCs w:val="22"/>
        </w:rPr>
        <w:t xml:space="preserve"> bogotanas, en las cuales se provea orientación sobre los requisitos y trámites necesarios para participar en los sandbox regulatorios, como también en el desarrollo de modelos de negocio innovadores que se ajusten a la normatividad vigente.</w:t>
      </w:r>
    </w:p>
    <w:p w14:paraId="1CE639E3" w14:textId="77777777" w:rsidR="004D0443" w:rsidRDefault="004D0443">
      <w:pPr>
        <w:jc w:val="both"/>
        <w:rPr>
          <w:rFonts w:ascii="Times New Roman" w:eastAsia="Times New Roman" w:hAnsi="Times New Roman" w:cs="Times New Roman"/>
          <w:sz w:val="22"/>
          <w:szCs w:val="22"/>
        </w:rPr>
      </w:pPr>
    </w:p>
    <w:p w14:paraId="1CE639E4"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Parágrafo.</w:t>
      </w:r>
      <w:r>
        <w:rPr>
          <w:rFonts w:ascii="Times New Roman" w:eastAsia="Times New Roman" w:hAnsi="Times New Roman" w:cs="Times New Roman"/>
          <w:sz w:val="22"/>
          <w:szCs w:val="22"/>
        </w:rPr>
        <w:t xml:space="preserve"> Es</w:t>
      </w:r>
      <w:r>
        <w:rPr>
          <w:rFonts w:ascii="Times New Roman" w:eastAsia="Times New Roman" w:hAnsi="Times New Roman" w:cs="Times New Roman"/>
          <w:sz w:val="22"/>
          <w:szCs w:val="22"/>
        </w:rPr>
        <w:t>ta oferta de capacitación estará dirigida a startups en fases tempranas que se enfoquen en sectores Fintech como pagos digitales, criptoactivos, inteligencia artificial aplicada a servicios financieros, y otros modelos innovadores que promuevan la inclusió</w:t>
      </w:r>
      <w:r>
        <w:rPr>
          <w:rFonts w:ascii="Times New Roman" w:eastAsia="Times New Roman" w:hAnsi="Times New Roman" w:cs="Times New Roman"/>
          <w:sz w:val="22"/>
          <w:szCs w:val="22"/>
        </w:rPr>
        <w:t>n financiera.</w:t>
      </w:r>
    </w:p>
    <w:p w14:paraId="1CE639E5" w14:textId="77777777" w:rsidR="004D0443" w:rsidRDefault="004D0443">
      <w:pPr>
        <w:jc w:val="both"/>
        <w:rPr>
          <w:rFonts w:ascii="Times New Roman" w:eastAsia="Times New Roman" w:hAnsi="Times New Roman" w:cs="Times New Roman"/>
          <w:sz w:val="22"/>
          <w:szCs w:val="22"/>
        </w:rPr>
      </w:pPr>
    </w:p>
    <w:p w14:paraId="1CE639E6"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lastRenderedPageBreak/>
        <w:t xml:space="preserve">Artículo 12º. Prioridad para Startups Fintech bogotanas en el Sandbox Regulatorio. </w:t>
      </w:r>
      <w:r>
        <w:rPr>
          <w:rFonts w:ascii="Times New Roman" w:eastAsia="Times New Roman" w:hAnsi="Times New Roman" w:cs="Times New Roman"/>
          <w:sz w:val="22"/>
          <w:szCs w:val="22"/>
        </w:rPr>
        <w:t xml:space="preserve">La Administración Distrital realizará las gestiones ante la Superintendencia Financiera de Colombia (SFC) para que las startups bogotanas tengan prioridad en </w:t>
      </w:r>
      <w:r>
        <w:rPr>
          <w:rFonts w:ascii="Times New Roman" w:eastAsia="Times New Roman" w:hAnsi="Times New Roman" w:cs="Times New Roman"/>
          <w:sz w:val="22"/>
          <w:szCs w:val="22"/>
        </w:rPr>
        <w:t>el acceso al sandbox regulatorio, promoviendo así la experimentación de tecnologías financieras disruptivas dentro del territorio del Distrito Capital.</w:t>
      </w:r>
    </w:p>
    <w:p w14:paraId="1CE639E7" w14:textId="77777777" w:rsidR="004D0443" w:rsidRDefault="004D0443">
      <w:pPr>
        <w:jc w:val="both"/>
        <w:rPr>
          <w:rFonts w:ascii="Times New Roman" w:eastAsia="Times New Roman" w:hAnsi="Times New Roman" w:cs="Times New Roman"/>
          <w:sz w:val="22"/>
          <w:szCs w:val="22"/>
        </w:rPr>
      </w:pPr>
    </w:p>
    <w:p w14:paraId="1CE639E8"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13°. Fomento del Bilingüismo para el Ecosistema de Startups. </w:t>
      </w:r>
      <w:r>
        <w:rPr>
          <w:rFonts w:ascii="Times New Roman" w:eastAsia="Times New Roman" w:hAnsi="Times New Roman" w:cs="Times New Roman"/>
          <w:sz w:val="22"/>
          <w:szCs w:val="22"/>
        </w:rPr>
        <w:t>La Administración Distrital, a tr</w:t>
      </w:r>
      <w:r>
        <w:rPr>
          <w:rFonts w:ascii="Times New Roman" w:eastAsia="Times New Roman" w:hAnsi="Times New Roman" w:cs="Times New Roman"/>
          <w:sz w:val="22"/>
          <w:szCs w:val="22"/>
        </w:rPr>
        <w:t>avés de las entidades competentes, propenderá por el ofrecimiento de formación en inglés y otras lenguas extranjeras con el fin de fortalecer el bilingüismo dentro del ecosistema de startups en Bogotá. Lo anterior, con el propósito de mejorar las competenc</w:t>
      </w:r>
      <w:r>
        <w:rPr>
          <w:rFonts w:ascii="Times New Roman" w:eastAsia="Times New Roman" w:hAnsi="Times New Roman" w:cs="Times New Roman"/>
          <w:sz w:val="22"/>
          <w:szCs w:val="22"/>
        </w:rPr>
        <w:t>ias lingüísticas de emprendedores, estudiantes, investigadores y profesionales vinculados a las startups, con miras a facilitar su inserción en mercados internacionales, promover la internacionalización de sus productos y servicios, así como aumentar la co</w:t>
      </w:r>
      <w:r>
        <w:rPr>
          <w:rFonts w:ascii="Times New Roman" w:eastAsia="Times New Roman" w:hAnsi="Times New Roman" w:cs="Times New Roman"/>
          <w:sz w:val="22"/>
          <w:szCs w:val="22"/>
        </w:rPr>
        <w:t>mpetitividad de la ciudad como un centro de innovación regional.</w:t>
      </w:r>
    </w:p>
    <w:p w14:paraId="1CE639E9" w14:textId="77777777" w:rsidR="004D0443" w:rsidRDefault="00DA3067">
      <w:pPr>
        <w:spacing w:before="240" w:after="240" w:line="256" w:lineRule="auto"/>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14°. Enfoque de Género, Poblacional y Diferencial. </w:t>
      </w:r>
      <w:r>
        <w:rPr>
          <w:rFonts w:ascii="Times New Roman" w:eastAsia="Times New Roman" w:hAnsi="Times New Roman" w:cs="Times New Roman"/>
          <w:sz w:val="22"/>
          <w:szCs w:val="22"/>
        </w:rPr>
        <w:t xml:space="preserve">La Administración Distrital en la implementación de las disposiciones del presente Acuerdo dará prioridad a las startups lideradas </w:t>
      </w:r>
      <w:r>
        <w:rPr>
          <w:rFonts w:ascii="Times New Roman" w:eastAsia="Times New Roman" w:hAnsi="Times New Roman" w:cs="Times New Roman"/>
          <w:sz w:val="22"/>
          <w:szCs w:val="22"/>
        </w:rPr>
        <w:t>por mujeres, personas cuidadoras, jóvenes, personas con discapacidad, comunidades étnicas, entre otros. El objetivo será promover la igualdad de oportunidades en el acceso a recursos financieros, formación técnica, mentoría y redes de inversión, contribuye</w:t>
      </w:r>
      <w:r>
        <w:rPr>
          <w:rFonts w:ascii="Times New Roman" w:eastAsia="Times New Roman" w:hAnsi="Times New Roman" w:cs="Times New Roman"/>
          <w:sz w:val="22"/>
          <w:szCs w:val="22"/>
        </w:rPr>
        <w:t>ndo a la diversidad y equidad en el ecosistema de emprendimiento del Distrito Capital.</w:t>
      </w:r>
    </w:p>
    <w:p w14:paraId="1CE639EA"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15°. Divulgación. </w:t>
      </w:r>
      <w:r>
        <w:rPr>
          <w:rFonts w:ascii="Times New Roman" w:eastAsia="Times New Roman" w:hAnsi="Times New Roman" w:cs="Times New Roman"/>
          <w:sz w:val="22"/>
          <w:szCs w:val="22"/>
        </w:rPr>
        <w:t>La Administración Distrital, en cabeza de las entidades competentes, llevará a cabo una estrategia de divulgación amplia y efectiva de las acc</w:t>
      </w:r>
      <w:r>
        <w:rPr>
          <w:rFonts w:ascii="Times New Roman" w:eastAsia="Times New Roman" w:hAnsi="Times New Roman" w:cs="Times New Roman"/>
          <w:sz w:val="22"/>
          <w:szCs w:val="22"/>
        </w:rPr>
        <w:t xml:space="preserve">iones establecidas en el presente Acuerdo. Esta estrategia podrá incluir campañas de comunicación en medios masivos, comunitarios y digitales, talleres y actividades pedagógicas en instituciones educativas y espacios comunitarios, así como la distribución </w:t>
      </w:r>
      <w:r>
        <w:rPr>
          <w:rFonts w:ascii="Times New Roman" w:eastAsia="Times New Roman" w:hAnsi="Times New Roman" w:cs="Times New Roman"/>
          <w:sz w:val="22"/>
          <w:szCs w:val="22"/>
        </w:rPr>
        <w:t>de materiales informativos.</w:t>
      </w:r>
    </w:p>
    <w:p w14:paraId="1CE639EB" w14:textId="77777777" w:rsidR="004D0443" w:rsidRDefault="004D0443">
      <w:pPr>
        <w:jc w:val="both"/>
        <w:rPr>
          <w:rFonts w:ascii="Times New Roman" w:eastAsia="Times New Roman" w:hAnsi="Times New Roman" w:cs="Times New Roman"/>
          <w:sz w:val="22"/>
          <w:szCs w:val="22"/>
        </w:rPr>
      </w:pPr>
    </w:p>
    <w:p w14:paraId="1CE639EC"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16º. Informes. </w:t>
      </w:r>
      <w:r>
        <w:rPr>
          <w:rFonts w:ascii="Times New Roman" w:eastAsia="Times New Roman" w:hAnsi="Times New Roman" w:cs="Times New Roman"/>
          <w:sz w:val="22"/>
          <w:szCs w:val="22"/>
        </w:rPr>
        <w:t>La Administración Distrital, en cabeza de la Secretaría Distrital de Desarrollo Económico, la Secretaría Distrital de Hacienda, la Secretaría de Educación del Distrito y en coordinación con las demás ent</w:t>
      </w:r>
      <w:r>
        <w:rPr>
          <w:rFonts w:ascii="Times New Roman" w:eastAsia="Times New Roman" w:hAnsi="Times New Roman" w:cs="Times New Roman"/>
          <w:sz w:val="22"/>
          <w:szCs w:val="22"/>
        </w:rPr>
        <w:t>idades competentes, presentará al Concejo de Bogotá D.C. Cada 16 de abril, en el marco de la conmemoración del Día Mundial del Emprendimiento, un informe sobre la implementación del presente Acuerdo, que incluya el impacto de las startups en la economía de</w:t>
      </w:r>
      <w:r>
        <w:rPr>
          <w:rFonts w:ascii="Times New Roman" w:eastAsia="Times New Roman" w:hAnsi="Times New Roman" w:cs="Times New Roman"/>
          <w:sz w:val="22"/>
          <w:szCs w:val="22"/>
        </w:rPr>
        <w:t xml:space="preserve"> la ciudad.</w:t>
      </w:r>
    </w:p>
    <w:p w14:paraId="1CE639ED" w14:textId="77777777" w:rsidR="004D0443" w:rsidRDefault="004D0443">
      <w:pPr>
        <w:jc w:val="both"/>
        <w:rPr>
          <w:rFonts w:ascii="Times New Roman" w:eastAsia="Times New Roman" w:hAnsi="Times New Roman" w:cs="Times New Roman"/>
          <w:sz w:val="22"/>
          <w:szCs w:val="22"/>
        </w:rPr>
      </w:pPr>
    </w:p>
    <w:p w14:paraId="1CE639EE" w14:textId="77777777" w:rsidR="004D0443" w:rsidRDefault="00DA3067">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Artículo 17º. Reglamentación. </w:t>
      </w:r>
      <w:r>
        <w:rPr>
          <w:rFonts w:ascii="Times New Roman" w:eastAsia="Times New Roman" w:hAnsi="Times New Roman" w:cs="Times New Roman"/>
          <w:sz w:val="22"/>
          <w:szCs w:val="22"/>
        </w:rPr>
        <w:t>La Administración Distrital reglamentará las disposiciones del presente Acuerdo en un plazo no mayor a seis (6) meses contados a partir de la fecha de su entrada en vigencia.</w:t>
      </w:r>
    </w:p>
    <w:p w14:paraId="1CE639EF" w14:textId="77777777" w:rsidR="004D0443" w:rsidRDefault="004D0443">
      <w:pPr>
        <w:jc w:val="both"/>
        <w:rPr>
          <w:rFonts w:ascii="Times New Roman" w:eastAsia="Times New Roman" w:hAnsi="Times New Roman" w:cs="Times New Roman"/>
          <w:b/>
          <w:sz w:val="22"/>
          <w:szCs w:val="22"/>
        </w:rPr>
      </w:pPr>
    </w:p>
    <w:p w14:paraId="1CE639F0" w14:textId="77777777" w:rsidR="004D0443" w:rsidRDefault="00DA3067">
      <w:pPr>
        <w:jc w:val="both"/>
        <w:rPr>
          <w:rFonts w:ascii="Times New Roman" w:eastAsia="Times New Roman" w:hAnsi="Times New Roman" w:cs="Times New Roman"/>
          <w:b/>
          <w:i/>
          <w:sz w:val="22"/>
          <w:szCs w:val="22"/>
        </w:rPr>
      </w:pPr>
      <w:r>
        <w:rPr>
          <w:rFonts w:ascii="Times New Roman" w:eastAsia="Times New Roman" w:hAnsi="Times New Roman" w:cs="Times New Roman"/>
          <w:b/>
          <w:sz w:val="22"/>
          <w:szCs w:val="22"/>
        </w:rPr>
        <w:t xml:space="preserve">Artículo 18º. Vigencia . </w:t>
      </w:r>
      <w:r>
        <w:rPr>
          <w:rFonts w:ascii="Times New Roman" w:eastAsia="Times New Roman" w:hAnsi="Times New Roman" w:cs="Times New Roman"/>
          <w:sz w:val="22"/>
          <w:szCs w:val="22"/>
        </w:rPr>
        <w:t>El presente Acuerdo rige a partir de la fecha de su publicación.</w:t>
      </w:r>
    </w:p>
    <w:p w14:paraId="1CE639F1" w14:textId="77777777" w:rsidR="004D0443" w:rsidRDefault="004D0443">
      <w:pPr>
        <w:jc w:val="both"/>
        <w:rPr>
          <w:rFonts w:ascii="Times New Roman" w:eastAsia="Times New Roman" w:hAnsi="Times New Roman" w:cs="Times New Roman"/>
          <w:sz w:val="22"/>
          <w:szCs w:val="22"/>
        </w:rPr>
      </w:pPr>
    </w:p>
    <w:p w14:paraId="1CE639F2" w14:textId="77777777" w:rsidR="004D0443" w:rsidRDefault="00DA3067">
      <w:pPr>
        <w:jc w:val="center"/>
        <w:rPr>
          <w:rFonts w:ascii="Times New Roman" w:eastAsia="Times New Roman" w:hAnsi="Times New Roman" w:cs="Times New Roman"/>
          <w:b/>
          <w:sz w:val="22"/>
          <w:szCs w:val="22"/>
        </w:rPr>
      </w:pPr>
      <w:r>
        <w:rPr>
          <w:rFonts w:ascii="Times New Roman" w:eastAsia="Times New Roman" w:hAnsi="Times New Roman" w:cs="Times New Roman"/>
          <w:b/>
          <w:sz w:val="22"/>
          <w:szCs w:val="22"/>
        </w:rPr>
        <w:t>PUBLÍQUESE Y CÚMPLASE</w:t>
      </w:r>
    </w:p>
    <w:p w14:paraId="1CE639F3" w14:textId="77777777" w:rsidR="004D0443" w:rsidRDefault="004D0443">
      <w:pPr>
        <w:jc w:val="both"/>
        <w:rPr>
          <w:rFonts w:ascii="Times New Roman" w:eastAsia="Times New Roman" w:hAnsi="Times New Roman" w:cs="Times New Roman"/>
          <w:sz w:val="22"/>
          <w:szCs w:val="22"/>
        </w:rPr>
      </w:pPr>
    </w:p>
    <w:p w14:paraId="1CE639F4" w14:textId="77777777" w:rsidR="004D0443" w:rsidRDefault="004D0443">
      <w:pPr>
        <w:pBdr>
          <w:top w:val="nil"/>
          <w:left w:val="nil"/>
          <w:bottom w:val="nil"/>
          <w:right w:val="nil"/>
          <w:between w:val="nil"/>
        </w:pBdr>
        <w:spacing w:before="220" w:after="40" w:line="256" w:lineRule="auto"/>
        <w:jc w:val="both"/>
        <w:rPr>
          <w:rFonts w:ascii="Times New Roman" w:eastAsia="Times New Roman" w:hAnsi="Times New Roman" w:cs="Times New Roman"/>
          <w:b/>
          <w:color w:val="243F60"/>
        </w:rPr>
      </w:pPr>
      <w:bookmarkStart w:id="17" w:name="_heading=h.6va1ef95zvtl" w:colFirst="0" w:colLast="0"/>
      <w:bookmarkEnd w:id="17"/>
    </w:p>
    <w:p w14:paraId="1CE639F5" w14:textId="77777777" w:rsidR="004D0443" w:rsidRDefault="00DA3067">
      <w:pPr>
        <w:pBdr>
          <w:top w:val="nil"/>
          <w:left w:val="nil"/>
          <w:bottom w:val="nil"/>
          <w:right w:val="nil"/>
          <w:between w:val="nil"/>
        </w:pBdr>
        <w:spacing w:before="220" w:after="40" w:line="256" w:lineRule="auto"/>
        <w:jc w:val="both"/>
        <w:rPr>
          <w:rFonts w:ascii="Times New Roman" w:eastAsia="Times New Roman" w:hAnsi="Times New Roman" w:cs="Times New Roman"/>
          <w:b/>
          <w:color w:val="000000"/>
          <w:sz w:val="22"/>
          <w:szCs w:val="22"/>
        </w:rPr>
      </w:pPr>
      <w:bookmarkStart w:id="18" w:name="_heading=h.kjhb6djejv4e" w:colFirst="0" w:colLast="0"/>
      <w:bookmarkEnd w:id="18"/>
      <w:r>
        <w:rPr>
          <w:rFonts w:ascii="Times New Roman" w:eastAsia="Times New Roman" w:hAnsi="Times New Roman" w:cs="Times New Roman"/>
          <w:color w:val="000000"/>
          <w:sz w:val="22"/>
          <w:szCs w:val="22"/>
        </w:rPr>
        <w:br/>
      </w:r>
    </w:p>
    <w:p w14:paraId="1CE639F6" w14:textId="77777777" w:rsidR="004D0443" w:rsidRDefault="004D0443">
      <w:pPr>
        <w:spacing w:after="160" w:line="256" w:lineRule="auto"/>
        <w:rPr>
          <w:rFonts w:ascii="Times New Roman" w:eastAsia="Times New Roman" w:hAnsi="Times New Roman" w:cs="Times New Roman"/>
          <w:b/>
          <w:sz w:val="22"/>
          <w:szCs w:val="22"/>
        </w:rPr>
      </w:pPr>
    </w:p>
    <w:sectPr w:rsidR="004D0443">
      <w:headerReference w:type="default" r:id="rId26"/>
      <w:footerReference w:type="even" r:id="rId27"/>
      <w:footerReference w:type="default" r:id="rId28"/>
      <w:pgSz w:w="12242" w:h="15842"/>
      <w:pgMar w:top="1700" w:right="1700" w:bottom="1700" w:left="1700" w:header="709" w:footer="85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E63A39" w14:textId="77777777" w:rsidR="00000000" w:rsidRDefault="00DA3067">
      <w:r>
        <w:separator/>
      </w:r>
    </w:p>
  </w:endnote>
  <w:endnote w:type="continuationSeparator" w:id="0">
    <w:p w14:paraId="1CE63A3B" w14:textId="77777777" w:rsidR="00000000" w:rsidRDefault="00DA30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auto"/>
    <w:pitch w:val="default"/>
  </w:font>
  <w:font w:name="Segoe UI">
    <w:panose1 w:val="020B0502040204020203"/>
    <w:charset w:val="00"/>
    <w:family w:val="roman"/>
    <w:notTrueType/>
    <w:pitch w:val="default"/>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E63A2D" w14:textId="77777777" w:rsidR="004D0443" w:rsidRDefault="00DA3067">
    <w:pPr>
      <w:pBdr>
        <w:top w:val="nil"/>
        <w:left w:val="nil"/>
        <w:bottom w:val="nil"/>
        <w:right w:val="nil"/>
        <w:between w:val="nil"/>
      </w:pBdr>
      <w:tabs>
        <w:tab w:val="center" w:pos="4252"/>
        <w:tab w:val="right" w:pos="8504"/>
      </w:tabs>
      <w:jc w:val="right"/>
      <w:rPr>
        <w:color w:val="000000"/>
      </w:rPr>
    </w:pPr>
    <w:r>
      <w:rPr>
        <w:color w:val="000000"/>
      </w:rPr>
      <w:fldChar w:fldCharType="begin"/>
    </w:r>
    <w:r>
      <w:rPr>
        <w:color w:val="000000"/>
      </w:rPr>
      <w:instrText>PAGE</w:instrText>
    </w:r>
    <w:r>
      <w:rPr>
        <w:color w:val="000000"/>
      </w:rPr>
      <w:fldChar w:fldCharType="end"/>
    </w:r>
  </w:p>
  <w:p w14:paraId="1CE63A2E" w14:textId="77777777" w:rsidR="004D0443" w:rsidRDefault="004D0443">
    <w:pPr>
      <w:pBdr>
        <w:top w:val="nil"/>
        <w:left w:val="nil"/>
        <w:bottom w:val="nil"/>
        <w:right w:val="nil"/>
        <w:between w:val="nil"/>
      </w:pBdr>
      <w:tabs>
        <w:tab w:val="center" w:pos="4252"/>
        <w:tab w:val="right" w:pos="8504"/>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E63A2F" w14:textId="77777777" w:rsidR="004D0443" w:rsidRDefault="004D0443">
    <w:pPr>
      <w:pBdr>
        <w:top w:val="nil"/>
        <w:left w:val="nil"/>
        <w:bottom w:val="nil"/>
        <w:right w:val="nil"/>
        <w:between w:val="nil"/>
      </w:pBdr>
      <w:tabs>
        <w:tab w:val="center" w:pos="4252"/>
        <w:tab w:val="right" w:pos="8504"/>
      </w:tabs>
      <w:jc w:val="center"/>
      <w:rPr>
        <w:color w:val="000000"/>
        <w:sz w:val="18"/>
        <w:szCs w:val="18"/>
      </w:rPr>
    </w:pPr>
  </w:p>
  <w:p w14:paraId="1CE63A30" w14:textId="77777777" w:rsidR="004D0443" w:rsidRDefault="004D0443">
    <w:pPr>
      <w:pBdr>
        <w:top w:val="nil"/>
        <w:left w:val="nil"/>
        <w:bottom w:val="nil"/>
        <w:right w:val="nil"/>
        <w:between w:val="nil"/>
      </w:pBdr>
      <w:tabs>
        <w:tab w:val="center" w:pos="4252"/>
        <w:tab w:val="right" w:pos="8504"/>
      </w:tabs>
      <w:jc w:val="center"/>
      <w:rPr>
        <w:color w:val="000000"/>
        <w:sz w:val="18"/>
        <w:szCs w:val="18"/>
      </w:rPr>
    </w:pPr>
  </w:p>
  <w:p w14:paraId="1CE63A31" w14:textId="77777777" w:rsidR="004D0443" w:rsidRDefault="004D0443">
    <w:pPr>
      <w:pBdr>
        <w:top w:val="nil"/>
        <w:left w:val="nil"/>
        <w:bottom w:val="nil"/>
        <w:right w:val="nil"/>
        <w:between w:val="nil"/>
      </w:pBdr>
      <w:tabs>
        <w:tab w:val="center" w:pos="4252"/>
        <w:tab w:val="right" w:pos="8504"/>
      </w:tabs>
      <w:jc w:val="center"/>
      <w:rPr>
        <w:color w:val="000000"/>
        <w:sz w:val="16"/>
        <w:szCs w:val="16"/>
      </w:rPr>
    </w:pPr>
  </w:p>
  <w:p w14:paraId="1CE63A32" w14:textId="77777777" w:rsidR="004D0443" w:rsidRDefault="004D0443">
    <w:pPr>
      <w:pBdr>
        <w:top w:val="nil"/>
        <w:left w:val="nil"/>
        <w:bottom w:val="nil"/>
        <w:right w:val="nil"/>
        <w:between w:val="nil"/>
      </w:pBdr>
      <w:tabs>
        <w:tab w:val="center" w:pos="4252"/>
        <w:tab w:val="right" w:pos="8504"/>
      </w:tabs>
      <w:rPr>
        <w:color w:val="000000"/>
        <w:sz w:val="16"/>
        <w:szCs w:val="16"/>
      </w:rPr>
    </w:pPr>
  </w:p>
  <w:p w14:paraId="1CE63A33" w14:textId="77777777" w:rsidR="004D0443" w:rsidRDefault="004D0443">
    <w:pPr>
      <w:pBdr>
        <w:top w:val="nil"/>
        <w:left w:val="nil"/>
        <w:bottom w:val="nil"/>
        <w:right w:val="nil"/>
        <w:between w:val="nil"/>
      </w:pBdr>
      <w:tabs>
        <w:tab w:val="center" w:pos="4252"/>
        <w:tab w:val="right" w:pos="8504"/>
      </w:tabs>
      <w:rPr>
        <w:color w:val="000000"/>
        <w:sz w:val="16"/>
        <w:szCs w:val="16"/>
      </w:rPr>
    </w:pPr>
  </w:p>
  <w:p w14:paraId="1CE63A34" w14:textId="77777777" w:rsidR="004D0443" w:rsidRDefault="004D0443">
    <w:pPr>
      <w:jc w:val="right"/>
      <w:rPr>
        <w:b/>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E63A35" w14:textId="77777777" w:rsidR="00000000" w:rsidRDefault="00DA3067">
      <w:r>
        <w:separator/>
      </w:r>
    </w:p>
  </w:footnote>
  <w:footnote w:type="continuationSeparator" w:id="0">
    <w:p w14:paraId="1CE63A37" w14:textId="77777777" w:rsidR="00000000" w:rsidRDefault="00DA3067">
      <w:r>
        <w:continuationSeparator/>
      </w:r>
    </w:p>
  </w:footnote>
  <w:footnote w:id="1">
    <w:p w14:paraId="1CE63A37"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Escartín, D., Marimon, À., Rius, A., Vilaseca, X., &amp; Vives, À. (2020). </w:t>
      </w:r>
      <w:r>
        <w:rPr>
          <w:rFonts w:ascii="Times New Roman" w:eastAsia="Times New Roman" w:hAnsi="Times New Roman" w:cs="Times New Roman"/>
          <w:i/>
          <w:sz w:val="20"/>
          <w:szCs w:val="20"/>
        </w:rPr>
        <w:t>Startup: Concepto y ciclo de vida</w:t>
      </w:r>
      <w:r>
        <w:rPr>
          <w:rFonts w:ascii="Times New Roman" w:eastAsia="Times New Roman" w:hAnsi="Times New Roman" w:cs="Times New Roman"/>
          <w:sz w:val="20"/>
          <w:szCs w:val="20"/>
        </w:rPr>
        <w:t xml:space="preserve">. Revista de Contabilidad y Dirección, 30, 13-21. Recuperado de </w:t>
      </w:r>
      <w:hyperlink r:id="rId1" w:anchor=":~:text=Blumenthal%20(1983),%20cofundador%20y%20co-CEO%20de">
        <w:r>
          <w:rPr>
            <w:rFonts w:ascii="Times New Roman" w:eastAsia="Times New Roman" w:hAnsi="Times New Roman" w:cs="Times New Roman"/>
            <w:color w:val="1155CC"/>
            <w:sz w:val="20"/>
            <w:szCs w:val="20"/>
            <w:u w:val="single"/>
          </w:rPr>
          <w:t>https://accid.org/wp-content/uploads/2021/08/RCD30_Startups_cast-Startup</w:t>
        </w:r>
        <w:r>
          <w:rPr>
            <w:rFonts w:ascii="Times New Roman" w:eastAsia="Times New Roman" w:hAnsi="Times New Roman" w:cs="Times New Roman"/>
            <w:color w:val="1155CC"/>
            <w:sz w:val="20"/>
            <w:szCs w:val="20"/>
            <w:u w:val="single"/>
          </w:rPr>
          <w:t>-Concepto-y-ciclo-de-vida.pdf</w:t>
        </w:r>
      </w:hyperlink>
    </w:p>
  </w:footnote>
  <w:footnote w:id="2">
    <w:p w14:paraId="1CE63A38"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Fazio, B. R. (2019). </w:t>
      </w:r>
      <w:r>
        <w:rPr>
          <w:rFonts w:ascii="Times New Roman" w:eastAsia="Times New Roman" w:hAnsi="Times New Roman" w:cs="Times New Roman"/>
          <w:i/>
          <w:sz w:val="20"/>
          <w:szCs w:val="20"/>
        </w:rPr>
        <w:t>Startups: La nueva manera de hacer negocios</w:t>
      </w:r>
      <w:r>
        <w:rPr>
          <w:rFonts w:ascii="Times New Roman" w:eastAsia="Times New Roman" w:hAnsi="Times New Roman" w:cs="Times New Roman"/>
          <w:sz w:val="20"/>
          <w:szCs w:val="20"/>
        </w:rPr>
        <w:t xml:space="preserve">. Trabajo de investigación, Universidad Nacional de Cuyo. Recuperado de: </w:t>
      </w:r>
      <w:hyperlink r:id="rId2" w:anchor=":~:text=El%20objetivo%20principal%20del%20presente%20trabajo">
        <w:r>
          <w:rPr>
            <w:rFonts w:ascii="Times New Roman" w:eastAsia="Times New Roman" w:hAnsi="Times New Roman" w:cs="Times New Roman"/>
            <w:color w:val="1155CC"/>
            <w:sz w:val="20"/>
            <w:szCs w:val="20"/>
            <w:u w:val="single"/>
          </w:rPr>
          <w:t>https://bdigital.uncu.edu.ar/objetos_digitales/15764/startupslanuevamaneradehac</w:t>
        </w:r>
        <w:r>
          <w:rPr>
            <w:rFonts w:ascii="Times New Roman" w:eastAsia="Times New Roman" w:hAnsi="Times New Roman" w:cs="Times New Roman"/>
            <w:color w:val="1155CC"/>
            <w:sz w:val="20"/>
            <w:szCs w:val="20"/>
            <w:u w:val="single"/>
          </w:rPr>
          <w:t>ernegocios.pdf</w:t>
        </w:r>
      </w:hyperlink>
    </w:p>
  </w:footnote>
  <w:footnote w:id="3">
    <w:p w14:paraId="1CE63A39"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Centro de Documentación Europea y Europe Direct de la Comunidad de Madrid. (2016). </w:t>
      </w:r>
      <w:r>
        <w:rPr>
          <w:rFonts w:ascii="Times New Roman" w:eastAsia="Times New Roman" w:hAnsi="Times New Roman" w:cs="Times New Roman"/>
          <w:i/>
          <w:sz w:val="20"/>
          <w:szCs w:val="20"/>
        </w:rPr>
        <w:t>Ficha práctica: ¿Qué es una startup?</w:t>
      </w:r>
      <w:r>
        <w:rPr>
          <w:rFonts w:ascii="Times New Roman" w:eastAsia="Times New Roman" w:hAnsi="Times New Roman" w:cs="Times New Roman"/>
          <w:sz w:val="20"/>
          <w:szCs w:val="20"/>
        </w:rPr>
        <w:t xml:space="preserve"> Recuperado de</w:t>
      </w:r>
      <w:hyperlink r:id="rId3">
        <w:r>
          <w:rPr>
            <w:rFonts w:ascii="Times New Roman" w:eastAsia="Times New Roman" w:hAnsi="Times New Roman" w:cs="Times New Roman"/>
            <w:sz w:val="20"/>
            <w:szCs w:val="20"/>
          </w:rPr>
          <w:t xml:space="preserve"> </w:t>
        </w:r>
      </w:hyperlink>
      <w:hyperlink r:id="rId4" w:anchor=":~:text=Una%20startup%20es%20una%20empresa%20peque%C3%B1a">
        <w:r>
          <w:rPr>
            <w:rFonts w:ascii="Times New Roman" w:eastAsia="Times New Roman" w:hAnsi="Times New Roman" w:cs="Times New Roman"/>
            <w:color w:val="1155CC"/>
            <w:sz w:val="20"/>
            <w:szCs w:val="20"/>
            <w:u w:val="single"/>
          </w:rPr>
          <w:t>https://www.comunidad.madrid/sites/default/files/29_dgae_ficha_practica._que_es_una_starup.pdf</w:t>
        </w:r>
      </w:hyperlink>
    </w:p>
  </w:footnote>
  <w:footnote w:id="4">
    <w:p w14:paraId="1CE63A3A"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5">
    <w:p w14:paraId="1CE63A3B"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Solís Tepexpa, S., &amp; Torres Castañeda,</w:t>
      </w:r>
      <w:r>
        <w:rPr>
          <w:rFonts w:ascii="Times New Roman" w:eastAsia="Times New Roman" w:hAnsi="Times New Roman" w:cs="Times New Roman"/>
          <w:sz w:val="20"/>
          <w:szCs w:val="20"/>
        </w:rPr>
        <w:t xml:space="preserve"> K. (2022). </w:t>
      </w:r>
      <w:r>
        <w:rPr>
          <w:rFonts w:ascii="Times New Roman" w:eastAsia="Times New Roman" w:hAnsi="Times New Roman" w:cs="Times New Roman"/>
          <w:i/>
          <w:sz w:val="20"/>
          <w:szCs w:val="20"/>
        </w:rPr>
        <w:t>Importancia de las startups en la economía del siglo XXI</w:t>
      </w:r>
      <w:r>
        <w:rPr>
          <w:rFonts w:ascii="Times New Roman" w:eastAsia="Times New Roman" w:hAnsi="Times New Roman" w:cs="Times New Roman"/>
          <w:sz w:val="20"/>
          <w:szCs w:val="20"/>
        </w:rPr>
        <w:t xml:space="preserve">. Gestión y Estrategia, 61, 45-62. Recuperado de: </w:t>
      </w:r>
      <w:hyperlink r:id="rId5">
        <w:r>
          <w:rPr>
            <w:rFonts w:ascii="Times New Roman" w:eastAsia="Times New Roman" w:hAnsi="Times New Roman" w:cs="Times New Roman"/>
            <w:color w:val="1155CC"/>
            <w:sz w:val="20"/>
            <w:szCs w:val="20"/>
            <w:u w:val="single"/>
          </w:rPr>
          <w:t>https://www.resear</w:t>
        </w:r>
        <w:r>
          <w:rPr>
            <w:rFonts w:ascii="Times New Roman" w:eastAsia="Times New Roman" w:hAnsi="Times New Roman" w:cs="Times New Roman"/>
            <w:color w:val="1155CC"/>
            <w:sz w:val="20"/>
            <w:szCs w:val="20"/>
            <w:u w:val="single"/>
          </w:rPr>
          <w:t>chgate.net/publication/359071428_Importance_of_startup_in_the_21st_Century_Economy</w:t>
        </w:r>
      </w:hyperlink>
      <w:r>
        <w:rPr>
          <w:rFonts w:ascii="Times New Roman" w:eastAsia="Times New Roman" w:hAnsi="Times New Roman" w:cs="Times New Roman"/>
          <w:sz w:val="20"/>
          <w:szCs w:val="20"/>
        </w:rPr>
        <w:t xml:space="preserve"> </w:t>
      </w:r>
    </w:p>
  </w:footnote>
  <w:footnote w:id="6">
    <w:p w14:paraId="1CE63A3C"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 </w:t>
      </w:r>
    </w:p>
  </w:footnote>
  <w:footnote w:id="7">
    <w:p w14:paraId="1CE63A3D"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Buchholz, K. (2023, November 14). </w:t>
      </w:r>
      <w:r>
        <w:rPr>
          <w:rFonts w:ascii="Times New Roman" w:eastAsia="Times New Roman" w:hAnsi="Times New Roman" w:cs="Times New Roman"/>
          <w:i/>
          <w:sz w:val="20"/>
          <w:szCs w:val="20"/>
        </w:rPr>
        <w:t>Infographic: The Highest-Valued Startups in the World</w:t>
      </w:r>
      <w:r>
        <w:rPr>
          <w:rFonts w:ascii="Times New Roman" w:eastAsia="Times New Roman" w:hAnsi="Times New Roman" w:cs="Times New Roman"/>
          <w:sz w:val="20"/>
          <w:szCs w:val="20"/>
        </w:rPr>
        <w:t xml:space="preserve">. Statista Daily Data; Statista. Recuperado de: </w:t>
      </w:r>
      <w:hyperlink r:id="rId6" w:anchor=":~:text=Nov%2014,%202023.%20According%20to%20the%20CB%20Insights%20unicorn%20list">
        <w:r>
          <w:rPr>
            <w:rFonts w:ascii="Times New Roman" w:eastAsia="Times New Roman" w:hAnsi="Times New Roman" w:cs="Times New Roman"/>
            <w:color w:val="1155CC"/>
            <w:sz w:val="20"/>
            <w:szCs w:val="20"/>
            <w:u w:val="single"/>
          </w:rPr>
          <w:t>https://www.statista.com/chart/19317/highest-valued-startup-companies-in-the-world/#:~:tex</w:t>
        </w:r>
        <w:r>
          <w:rPr>
            <w:rFonts w:ascii="Times New Roman" w:eastAsia="Times New Roman" w:hAnsi="Times New Roman" w:cs="Times New Roman"/>
            <w:color w:val="1155CC"/>
            <w:sz w:val="20"/>
            <w:szCs w:val="20"/>
            <w:u w:val="single"/>
          </w:rPr>
          <w:t>t=Nov%2014,%202023.%20According%20to%20the%20CB%20Insights%20unicorn%20list</w:t>
        </w:r>
      </w:hyperlink>
      <w:r>
        <w:rPr>
          <w:rFonts w:ascii="Times New Roman" w:eastAsia="Times New Roman" w:hAnsi="Times New Roman" w:cs="Times New Roman"/>
          <w:sz w:val="20"/>
          <w:szCs w:val="20"/>
        </w:rPr>
        <w:t xml:space="preserve">, </w:t>
      </w:r>
    </w:p>
  </w:footnote>
  <w:footnote w:id="8">
    <w:p w14:paraId="1CE63A3E"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 </w:t>
      </w:r>
    </w:p>
  </w:footnote>
  <w:footnote w:id="9">
    <w:p w14:paraId="1CE63A3F"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CB Insights. (2024). </w:t>
      </w:r>
      <w:r>
        <w:rPr>
          <w:rFonts w:ascii="Times New Roman" w:eastAsia="Times New Roman" w:hAnsi="Times New Roman" w:cs="Times New Roman"/>
          <w:i/>
          <w:sz w:val="20"/>
          <w:szCs w:val="20"/>
        </w:rPr>
        <w:t>The Complete List Of Unicorn Companies</w:t>
      </w:r>
      <w:r>
        <w:rPr>
          <w:rFonts w:ascii="Times New Roman" w:eastAsia="Times New Roman" w:hAnsi="Times New Roman" w:cs="Times New Roman"/>
          <w:sz w:val="20"/>
          <w:szCs w:val="20"/>
        </w:rPr>
        <w:t xml:space="preserve">. CB Insights. Recuperado de: </w:t>
      </w:r>
      <w:hyperlink r:id="rId7">
        <w:r>
          <w:rPr>
            <w:rFonts w:ascii="Times New Roman" w:eastAsia="Times New Roman" w:hAnsi="Times New Roman" w:cs="Times New Roman"/>
            <w:color w:val="1155CC"/>
            <w:sz w:val="20"/>
            <w:szCs w:val="20"/>
            <w:u w:val="single"/>
          </w:rPr>
          <w:t>htt</w:t>
        </w:r>
        <w:r>
          <w:rPr>
            <w:rFonts w:ascii="Times New Roman" w:eastAsia="Times New Roman" w:hAnsi="Times New Roman" w:cs="Times New Roman"/>
            <w:color w:val="1155CC"/>
            <w:sz w:val="20"/>
            <w:szCs w:val="20"/>
            <w:u w:val="single"/>
          </w:rPr>
          <w:t>ps://www.cbinsights.com/research-unicorn-companies</w:t>
        </w:r>
      </w:hyperlink>
      <w:r>
        <w:rPr>
          <w:rFonts w:ascii="Times New Roman" w:eastAsia="Times New Roman" w:hAnsi="Times New Roman" w:cs="Times New Roman"/>
          <w:sz w:val="20"/>
          <w:szCs w:val="20"/>
        </w:rPr>
        <w:t xml:space="preserve"> </w:t>
      </w:r>
    </w:p>
  </w:footnote>
  <w:footnote w:id="10">
    <w:p w14:paraId="1CE63A40"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11">
    <w:p w14:paraId="1CE63A41"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Hurun Report. (2023). Global Unicorn Index 2023. </w:t>
      </w:r>
      <w:r>
        <w:rPr>
          <w:rFonts w:ascii="Times New Roman" w:eastAsia="Times New Roman" w:hAnsi="Times New Roman" w:cs="Times New Roman"/>
          <w:i/>
          <w:sz w:val="20"/>
          <w:szCs w:val="20"/>
        </w:rPr>
        <w:t>Hurun Report</w:t>
      </w:r>
      <w:r>
        <w:rPr>
          <w:rFonts w:ascii="Times New Roman" w:eastAsia="Times New Roman" w:hAnsi="Times New Roman" w:cs="Times New Roman"/>
          <w:sz w:val="20"/>
          <w:szCs w:val="20"/>
        </w:rPr>
        <w:t xml:space="preserve">. Recuperado de: </w:t>
      </w:r>
      <w:hyperlink r:id="rId8">
        <w:r>
          <w:rPr>
            <w:rFonts w:ascii="Times New Roman" w:eastAsia="Times New Roman" w:hAnsi="Times New Roman" w:cs="Times New Roman"/>
            <w:color w:val="1155CC"/>
            <w:sz w:val="20"/>
            <w:szCs w:val="20"/>
            <w:u w:val="single"/>
          </w:rPr>
          <w:t>https://www.hurun.net/en-US/Info/Detai</w:t>
        </w:r>
        <w:r>
          <w:rPr>
            <w:rFonts w:ascii="Times New Roman" w:eastAsia="Times New Roman" w:hAnsi="Times New Roman" w:cs="Times New Roman"/>
            <w:color w:val="1155CC"/>
            <w:sz w:val="20"/>
            <w:szCs w:val="20"/>
            <w:u w:val="single"/>
          </w:rPr>
          <w:t>l?num=3OEJNGKGFPDS</w:t>
        </w:r>
      </w:hyperlink>
      <w:r>
        <w:rPr>
          <w:rFonts w:ascii="Times New Roman" w:eastAsia="Times New Roman" w:hAnsi="Times New Roman" w:cs="Times New Roman"/>
          <w:sz w:val="20"/>
          <w:szCs w:val="20"/>
        </w:rPr>
        <w:t xml:space="preserve"> </w:t>
      </w:r>
    </w:p>
  </w:footnote>
  <w:footnote w:id="12">
    <w:p w14:paraId="1CE63A42"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13">
    <w:p w14:paraId="1CE63A43"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Tech Economy. (2023). Breakdown of the world’s highest valued startups. Tech Economy. Recuperado de: </w:t>
      </w:r>
      <w:hyperlink r:id="rId9">
        <w:r>
          <w:rPr>
            <w:rFonts w:ascii="Times New Roman" w:eastAsia="Times New Roman" w:hAnsi="Times New Roman" w:cs="Times New Roman"/>
            <w:color w:val="1155CC"/>
            <w:sz w:val="20"/>
            <w:szCs w:val="20"/>
            <w:u w:val="single"/>
          </w:rPr>
          <w:t>https://techeconomy.ng/breakdown-of-the-worlds-highest-valued-startups/</w:t>
        </w:r>
      </w:hyperlink>
      <w:r>
        <w:rPr>
          <w:rFonts w:ascii="Times New Roman" w:eastAsia="Times New Roman" w:hAnsi="Times New Roman" w:cs="Times New Roman"/>
          <w:sz w:val="20"/>
          <w:szCs w:val="20"/>
        </w:rPr>
        <w:t xml:space="preserve">  </w:t>
      </w:r>
    </w:p>
  </w:footnote>
  <w:footnote w:id="14">
    <w:p w14:paraId="1CE63A44"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15">
    <w:p w14:paraId="1CE63A45"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16">
    <w:p w14:paraId="1CE63A46"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Celada, D. (2019). </w:t>
      </w:r>
      <w:r>
        <w:rPr>
          <w:rFonts w:ascii="Times New Roman" w:eastAsia="Times New Roman" w:hAnsi="Times New Roman" w:cs="Times New Roman"/>
          <w:i/>
          <w:sz w:val="20"/>
          <w:szCs w:val="20"/>
        </w:rPr>
        <w:t>Las startups en el nuevo entorno económico mundial: Factores principales para su desarrollo</w:t>
      </w:r>
      <w:r>
        <w:rPr>
          <w:rFonts w:ascii="Times New Roman" w:eastAsia="Times New Roman" w:hAnsi="Times New Roman" w:cs="Times New Roman"/>
          <w:sz w:val="20"/>
          <w:szCs w:val="20"/>
        </w:rPr>
        <w:t>. Facultad de Ciencias Económicas y Empresariales.</w:t>
      </w:r>
      <w:r>
        <w:rPr>
          <w:rFonts w:ascii="Times New Roman" w:eastAsia="Times New Roman" w:hAnsi="Times New Roman" w:cs="Times New Roman"/>
          <w:sz w:val="20"/>
          <w:szCs w:val="20"/>
        </w:rPr>
        <w:t xml:space="preserve"> Recuperado de: </w:t>
      </w:r>
      <w:hyperlink r:id="rId10">
        <w:r>
          <w:rPr>
            <w:rFonts w:ascii="Times New Roman" w:eastAsia="Times New Roman" w:hAnsi="Times New Roman" w:cs="Times New Roman"/>
            <w:color w:val="1155CC"/>
            <w:sz w:val="20"/>
            <w:szCs w:val="20"/>
            <w:u w:val="single"/>
          </w:rPr>
          <w:t>https://repositorio.comillas.edu/xmlui/bitstream/handle/11531/31245/TFG%20Celada%20Lopez%2C%20Daniel.pdf?</w:t>
        </w:r>
        <w:r>
          <w:rPr>
            <w:rFonts w:ascii="Times New Roman" w:eastAsia="Times New Roman" w:hAnsi="Times New Roman" w:cs="Times New Roman"/>
            <w:color w:val="1155CC"/>
            <w:sz w:val="20"/>
            <w:szCs w:val="20"/>
            <w:u w:val="single"/>
          </w:rPr>
          <w:t>sequence=1</w:t>
        </w:r>
      </w:hyperlink>
      <w:r>
        <w:rPr>
          <w:rFonts w:ascii="Times New Roman" w:eastAsia="Times New Roman" w:hAnsi="Times New Roman" w:cs="Times New Roman"/>
          <w:sz w:val="20"/>
          <w:szCs w:val="20"/>
        </w:rPr>
        <w:t xml:space="preserve">  </w:t>
      </w:r>
    </w:p>
  </w:footnote>
  <w:footnote w:id="17">
    <w:p w14:paraId="1CE63A47"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Salazar, D. (2024). </w:t>
      </w:r>
      <w:r>
        <w:rPr>
          <w:rFonts w:ascii="Times New Roman" w:eastAsia="Times New Roman" w:hAnsi="Times New Roman" w:cs="Times New Roman"/>
          <w:i/>
          <w:sz w:val="20"/>
          <w:szCs w:val="20"/>
        </w:rPr>
        <w:t xml:space="preserve">Los 8 cambios que redefinen la realidad de las startups globales de cara a 2024. </w:t>
      </w:r>
      <w:r>
        <w:rPr>
          <w:rFonts w:ascii="Times New Roman" w:eastAsia="Times New Roman" w:hAnsi="Times New Roman" w:cs="Times New Roman"/>
          <w:sz w:val="20"/>
          <w:szCs w:val="20"/>
        </w:rPr>
        <w:t xml:space="preserve">Bloomberg Línea. Recuperado de: </w:t>
      </w:r>
      <w:hyperlink r:id="rId11">
        <w:r>
          <w:rPr>
            <w:rFonts w:ascii="Times New Roman" w:eastAsia="Times New Roman" w:hAnsi="Times New Roman" w:cs="Times New Roman"/>
            <w:color w:val="1155CC"/>
            <w:sz w:val="20"/>
            <w:szCs w:val="20"/>
            <w:u w:val="single"/>
          </w:rPr>
          <w:t>https://www.bloomberglinea.com/2024/01/27/los-8-cambios-que-redefinen-la-realidad-de-las-startups-globales-de-cara-a-2024/</w:t>
        </w:r>
      </w:hyperlink>
    </w:p>
  </w:footnote>
  <w:footnote w:id="18">
    <w:p w14:paraId="1CE63A48"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19">
    <w:p w14:paraId="1CE63A49"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20">
    <w:p w14:paraId="1CE63A4A"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Legislação da Presidência</w:t>
      </w:r>
      <w:r>
        <w:rPr>
          <w:rFonts w:ascii="Times New Roman" w:eastAsia="Times New Roman" w:hAnsi="Times New Roman" w:cs="Times New Roman"/>
          <w:sz w:val="22"/>
          <w:szCs w:val="22"/>
        </w:rPr>
        <w:t xml:space="preserve">. </w:t>
      </w:r>
      <w:r>
        <w:rPr>
          <w:rFonts w:ascii="Times New Roman" w:eastAsia="Times New Roman" w:hAnsi="Times New Roman" w:cs="Times New Roman"/>
          <w:sz w:val="20"/>
          <w:szCs w:val="20"/>
        </w:rPr>
        <w:t>(2021). Base Legislação da Presidência da Repúblic</w:t>
      </w:r>
      <w:r>
        <w:rPr>
          <w:rFonts w:ascii="Times New Roman" w:eastAsia="Times New Roman" w:hAnsi="Times New Roman" w:cs="Times New Roman"/>
          <w:sz w:val="20"/>
          <w:szCs w:val="20"/>
        </w:rPr>
        <w:t xml:space="preserve">a - Lei Complementar no 182 de 01 de junho de 2021. Recuperado de: </w:t>
      </w:r>
      <w:hyperlink r:id="rId12">
        <w:r>
          <w:rPr>
            <w:rFonts w:ascii="Times New Roman" w:eastAsia="Times New Roman" w:hAnsi="Times New Roman" w:cs="Times New Roman"/>
            <w:color w:val="1155CC"/>
            <w:sz w:val="20"/>
            <w:szCs w:val="20"/>
            <w:u w:val="single"/>
          </w:rPr>
          <w:t>https://legislacao.presidencia.gov.br/atos/?tipo=LCP&amp;numero=182&amp;ano=2021&amp;at</w:t>
        </w:r>
        <w:r>
          <w:rPr>
            <w:rFonts w:ascii="Times New Roman" w:eastAsia="Times New Roman" w:hAnsi="Times New Roman" w:cs="Times New Roman"/>
            <w:color w:val="1155CC"/>
            <w:sz w:val="20"/>
            <w:szCs w:val="20"/>
            <w:u w:val="single"/>
          </w:rPr>
          <w:t>o=7dbMTUU5UMZpWT177</w:t>
        </w:r>
      </w:hyperlink>
      <w:r>
        <w:rPr>
          <w:rFonts w:ascii="Times New Roman" w:eastAsia="Times New Roman" w:hAnsi="Times New Roman" w:cs="Times New Roman"/>
          <w:sz w:val="20"/>
          <w:szCs w:val="20"/>
        </w:rPr>
        <w:t xml:space="preserve"> </w:t>
      </w:r>
    </w:p>
  </w:footnote>
  <w:footnote w:id="21">
    <w:p w14:paraId="1CE63A4B"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Ministerio de Ciencia, Tecnología e Innovación. (2022). </w:t>
      </w:r>
      <w:r>
        <w:rPr>
          <w:rFonts w:ascii="Times New Roman" w:eastAsia="Times New Roman" w:hAnsi="Times New Roman" w:cs="Times New Roman"/>
          <w:i/>
          <w:sz w:val="20"/>
          <w:szCs w:val="20"/>
        </w:rPr>
        <w:t>Novo marco legal das startups e o desenvolvimento da inovação no Brasil</w:t>
      </w:r>
      <w:r>
        <w:rPr>
          <w:rFonts w:ascii="Times New Roman" w:eastAsia="Times New Roman" w:hAnsi="Times New Roman" w:cs="Times New Roman"/>
          <w:sz w:val="20"/>
          <w:szCs w:val="20"/>
        </w:rPr>
        <w:t xml:space="preserve">. Recuperado de: </w:t>
      </w:r>
      <w:hyperlink r:id="rId13">
        <w:r>
          <w:rPr>
            <w:rFonts w:ascii="Times New Roman" w:eastAsia="Times New Roman" w:hAnsi="Times New Roman" w:cs="Times New Roman"/>
            <w:color w:val="1155CC"/>
            <w:sz w:val="20"/>
            <w:szCs w:val="20"/>
            <w:u w:val="single"/>
          </w:rPr>
          <w:t>https://repositorio.mctic.gov.br/bitstream/mctic/4796/3/2022_10_19_mcti_boletim_diario.pdf</w:t>
        </w:r>
      </w:hyperlink>
      <w:r>
        <w:rPr>
          <w:rFonts w:ascii="Times New Roman" w:eastAsia="Times New Roman" w:hAnsi="Times New Roman" w:cs="Times New Roman"/>
          <w:sz w:val="20"/>
          <w:szCs w:val="20"/>
        </w:rPr>
        <w:t xml:space="preserve"> </w:t>
      </w:r>
    </w:p>
  </w:footnote>
  <w:footnote w:id="22">
    <w:p w14:paraId="1CE63A4C"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Ferrarezi, T. (2023). </w:t>
      </w:r>
      <w:r>
        <w:rPr>
          <w:rFonts w:ascii="Times New Roman" w:eastAsia="Times New Roman" w:hAnsi="Times New Roman" w:cs="Times New Roman"/>
          <w:i/>
          <w:sz w:val="20"/>
          <w:szCs w:val="20"/>
        </w:rPr>
        <w:t>Sandbox regulatório: um instrumento estratégico para o desenvolvimento de tecnologias emergentes no Brasil</w:t>
      </w:r>
      <w:r>
        <w:rPr>
          <w:rFonts w:ascii="Times New Roman" w:eastAsia="Times New Roman" w:hAnsi="Times New Roman" w:cs="Times New Roman"/>
          <w:sz w:val="20"/>
          <w:szCs w:val="20"/>
        </w:rPr>
        <w:t xml:space="preserve">. Migalhas. Recuperado de: </w:t>
      </w:r>
      <w:hyperlink r:id="rId14">
        <w:r>
          <w:rPr>
            <w:rFonts w:ascii="Times New Roman" w:eastAsia="Times New Roman" w:hAnsi="Times New Roman" w:cs="Times New Roman"/>
            <w:color w:val="1155CC"/>
            <w:sz w:val="20"/>
            <w:szCs w:val="20"/>
            <w:u w:val="single"/>
          </w:rPr>
          <w:t>https://www.migalhas.com.br/depeso/386501/sandbox-regulatorio-um-instrumento-estrategico</w:t>
        </w:r>
      </w:hyperlink>
    </w:p>
  </w:footnote>
  <w:footnote w:id="23">
    <w:p w14:paraId="1CE63A4D"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Bloomberg en Línea. (2023,). </w:t>
      </w:r>
      <w:r>
        <w:rPr>
          <w:rFonts w:ascii="Times New Roman" w:eastAsia="Times New Roman" w:hAnsi="Times New Roman" w:cs="Times New Roman"/>
          <w:i/>
          <w:sz w:val="20"/>
          <w:szCs w:val="20"/>
        </w:rPr>
        <w:t>B</w:t>
      </w:r>
      <w:r>
        <w:rPr>
          <w:rFonts w:ascii="Times New Roman" w:eastAsia="Times New Roman" w:hAnsi="Times New Roman" w:cs="Times New Roman"/>
          <w:i/>
          <w:sz w:val="20"/>
          <w:szCs w:val="20"/>
        </w:rPr>
        <w:t>rasil é o país da América Latina com o maior número de fintechs ativas. Bloomberg Línea Brasil</w:t>
      </w:r>
      <w:r>
        <w:rPr>
          <w:rFonts w:ascii="Times New Roman" w:eastAsia="Times New Roman" w:hAnsi="Times New Roman" w:cs="Times New Roman"/>
          <w:sz w:val="20"/>
          <w:szCs w:val="20"/>
        </w:rPr>
        <w:t xml:space="preserve">. Recuperado de: </w:t>
      </w:r>
      <w:hyperlink r:id="rId15">
        <w:r>
          <w:rPr>
            <w:rFonts w:ascii="Times New Roman" w:eastAsia="Times New Roman" w:hAnsi="Times New Roman" w:cs="Times New Roman"/>
            <w:color w:val="1155CC"/>
            <w:sz w:val="20"/>
            <w:szCs w:val="20"/>
            <w:u w:val="single"/>
          </w:rPr>
          <w:t>https://</w:t>
        </w:r>
        <w:r>
          <w:rPr>
            <w:rFonts w:ascii="Times New Roman" w:eastAsia="Times New Roman" w:hAnsi="Times New Roman" w:cs="Times New Roman"/>
            <w:color w:val="1155CC"/>
            <w:sz w:val="20"/>
            <w:szCs w:val="20"/>
            <w:u w:val="single"/>
          </w:rPr>
          <w:t>www.bloomberglinea.com.br/2023/04/23/brasil-e-o-pais-da-america-latina-com-o-maior-numero-de-fintechs-ativas/</w:t>
        </w:r>
      </w:hyperlink>
      <w:r>
        <w:rPr>
          <w:rFonts w:ascii="Times New Roman" w:eastAsia="Times New Roman" w:hAnsi="Times New Roman" w:cs="Times New Roman"/>
          <w:sz w:val="20"/>
          <w:szCs w:val="20"/>
        </w:rPr>
        <w:t xml:space="preserve"> </w:t>
      </w:r>
    </w:p>
  </w:footnote>
  <w:footnote w:id="24">
    <w:p w14:paraId="1CE63A4E"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Gobierno de México. (2024). </w:t>
      </w:r>
      <w:r>
        <w:rPr>
          <w:rFonts w:ascii="Times New Roman" w:eastAsia="Times New Roman" w:hAnsi="Times New Roman" w:cs="Times New Roman"/>
          <w:i/>
          <w:sz w:val="20"/>
          <w:szCs w:val="20"/>
        </w:rPr>
        <w:t>El sector Fintech y su regulación en México</w:t>
      </w:r>
      <w:r>
        <w:rPr>
          <w:rFonts w:ascii="Times New Roman" w:eastAsia="Times New Roman" w:hAnsi="Times New Roman" w:cs="Times New Roman"/>
          <w:sz w:val="20"/>
          <w:szCs w:val="20"/>
        </w:rPr>
        <w:t xml:space="preserve">. Recuperado de:  </w:t>
      </w:r>
      <w:hyperlink r:id="rId16">
        <w:r>
          <w:rPr>
            <w:rFonts w:ascii="Times New Roman" w:eastAsia="Times New Roman" w:hAnsi="Times New Roman" w:cs="Times New Roman"/>
            <w:color w:val="1155CC"/>
            <w:sz w:val="20"/>
            <w:szCs w:val="20"/>
            <w:u w:val="single"/>
          </w:rPr>
          <w:t>https://www.gob.mx/shcp/articulos/el-sector-fintech-y-su-regulacion-en-mexico?idiom=es</w:t>
        </w:r>
      </w:hyperlink>
      <w:r>
        <w:rPr>
          <w:rFonts w:ascii="Times New Roman" w:eastAsia="Times New Roman" w:hAnsi="Times New Roman" w:cs="Times New Roman"/>
          <w:sz w:val="20"/>
          <w:szCs w:val="20"/>
        </w:rPr>
        <w:t xml:space="preserve"> </w:t>
      </w:r>
    </w:p>
  </w:footnote>
  <w:footnote w:id="25">
    <w:p w14:paraId="1CE63A4F"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Legal Paradox. (2024). </w:t>
      </w:r>
      <w:r>
        <w:rPr>
          <w:rFonts w:ascii="Times New Roman" w:eastAsia="Times New Roman" w:hAnsi="Times New Roman" w:cs="Times New Roman"/>
          <w:i/>
          <w:sz w:val="20"/>
          <w:szCs w:val="20"/>
        </w:rPr>
        <w:t>¿Qué es la Ley Fintech? y ¿Cómo está transformando a México?</w:t>
      </w:r>
      <w:r>
        <w:rPr>
          <w:rFonts w:ascii="Times New Roman" w:eastAsia="Times New Roman" w:hAnsi="Times New Roman" w:cs="Times New Roman"/>
          <w:sz w:val="20"/>
          <w:szCs w:val="20"/>
        </w:rPr>
        <w:t xml:space="preserve"> Recuperado de: </w:t>
      </w:r>
      <w:hyperlink r:id="rId17">
        <w:r>
          <w:rPr>
            <w:rFonts w:ascii="Times New Roman" w:eastAsia="Times New Roman" w:hAnsi="Times New Roman" w:cs="Times New Roman"/>
            <w:color w:val="1155CC"/>
            <w:sz w:val="20"/>
            <w:szCs w:val="20"/>
            <w:u w:val="single"/>
          </w:rPr>
          <w:t>https://www.legalparadox.com/post/qu%C3%A9-es-la-ley-fintech-y-c%C3%B3mo-est%C3%A1-transformando-a-m%C3%A9xico</w:t>
        </w:r>
      </w:hyperlink>
      <w:r>
        <w:rPr>
          <w:rFonts w:ascii="Times New Roman" w:eastAsia="Times New Roman" w:hAnsi="Times New Roman" w:cs="Times New Roman"/>
          <w:sz w:val="20"/>
          <w:szCs w:val="20"/>
        </w:rPr>
        <w:t xml:space="preserve"> </w:t>
      </w:r>
    </w:p>
  </w:footnote>
  <w:footnote w:id="26">
    <w:p w14:paraId="1CE63A50"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Boletín Oficial del Estado </w:t>
      </w:r>
      <w:r>
        <w:rPr>
          <w:rFonts w:ascii="Times New Roman" w:eastAsia="Times New Roman" w:hAnsi="Times New Roman" w:cs="Times New Roman"/>
          <w:sz w:val="20"/>
          <w:szCs w:val="20"/>
        </w:rPr>
        <w:t xml:space="preserve">(BOE). (2022). </w:t>
      </w:r>
      <w:r>
        <w:rPr>
          <w:rFonts w:ascii="Times New Roman" w:eastAsia="Times New Roman" w:hAnsi="Times New Roman" w:cs="Times New Roman"/>
          <w:i/>
          <w:sz w:val="20"/>
          <w:szCs w:val="20"/>
        </w:rPr>
        <w:t>Ley 28/2022, de 21 de diciembre, de fomento del ecosistema de las empresas emergentes</w:t>
      </w:r>
      <w:r>
        <w:rPr>
          <w:rFonts w:ascii="Times New Roman" w:eastAsia="Times New Roman" w:hAnsi="Times New Roman" w:cs="Times New Roman"/>
          <w:sz w:val="20"/>
          <w:szCs w:val="20"/>
        </w:rPr>
        <w:t xml:space="preserve">. Recuperado de </w:t>
      </w:r>
      <w:hyperlink r:id="rId18">
        <w:r>
          <w:rPr>
            <w:rFonts w:ascii="Times New Roman" w:eastAsia="Times New Roman" w:hAnsi="Times New Roman" w:cs="Times New Roman"/>
            <w:color w:val="1155CC"/>
            <w:sz w:val="20"/>
            <w:szCs w:val="20"/>
            <w:u w:val="single"/>
          </w:rPr>
          <w:t>Disposición 21739 del BOE núm. 306 de 2022</w:t>
        </w:r>
      </w:hyperlink>
      <w:r>
        <w:rPr>
          <w:rFonts w:ascii="Times New Roman" w:eastAsia="Times New Roman" w:hAnsi="Times New Roman" w:cs="Times New Roman"/>
          <w:sz w:val="20"/>
          <w:szCs w:val="20"/>
        </w:rPr>
        <w:t>​.</w:t>
      </w:r>
    </w:p>
  </w:footnote>
  <w:footnote w:id="27">
    <w:p w14:paraId="1CE63A51" w14:textId="77777777" w:rsidR="004D0443" w:rsidRDefault="00DA3067">
      <w:pPr>
        <w:rPr>
          <w:sz w:val="20"/>
          <w:szCs w:val="20"/>
        </w:rPr>
      </w:pPr>
      <w:r>
        <w:rPr>
          <w:vertAlign w:val="superscript"/>
        </w:rPr>
        <w:footnoteRef/>
      </w:r>
      <w:r>
        <w:rPr>
          <w:sz w:val="20"/>
          <w:szCs w:val="20"/>
        </w:rPr>
        <w:t xml:space="preserve"> Ibídem.</w:t>
      </w:r>
    </w:p>
  </w:footnote>
  <w:footnote w:id="28">
    <w:p w14:paraId="1CE63A52" w14:textId="77777777" w:rsidR="004D0443" w:rsidRDefault="00DA3067">
      <w:pPr>
        <w:rPr>
          <w:sz w:val="20"/>
          <w:szCs w:val="20"/>
        </w:rPr>
      </w:pPr>
      <w:r>
        <w:rPr>
          <w:vertAlign w:val="superscript"/>
        </w:rPr>
        <w:footnoteRef/>
      </w:r>
      <w:r>
        <w:rPr>
          <w:sz w:val="20"/>
          <w:szCs w:val="20"/>
        </w:rPr>
        <w:t xml:space="preserve"> Ibídem.</w:t>
      </w:r>
    </w:p>
  </w:footnote>
  <w:footnote w:id="29">
    <w:p w14:paraId="1CE63A53" w14:textId="77777777" w:rsidR="004D0443" w:rsidRDefault="00DA3067">
      <w:pPr>
        <w:rPr>
          <w:sz w:val="20"/>
          <w:szCs w:val="20"/>
        </w:rPr>
      </w:pPr>
      <w:r>
        <w:rPr>
          <w:vertAlign w:val="superscript"/>
        </w:rPr>
        <w:footnoteRef/>
      </w:r>
      <w:r>
        <w:rPr>
          <w:sz w:val="20"/>
          <w:szCs w:val="20"/>
        </w:rPr>
        <w:t xml:space="preserve"> Ibídem.</w:t>
      </w:r>
    </w:p>
  </w:footnote>
  <w:footnote w:id="30">
    <w:p w14:paraId="1CE63A54"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Altos Empresarios. (2024). </w:t>
      </w:r>
      <w:r>
        <w:rPr>
          <w:rFonts w:ascii="Times New Roman" w:eastAsia="Times New Roman" w:hAnsi="Times New Roman" w:cs="Times New Roman"/>
          <w:i/>
          <w:sz w:val="20"/>
          <w:szCs w:val="20"/>
        </w:rPr>
        <w:t>El papel de las startups en la transformación económica de Colombia</w:t>
      </w:r>
      <w:r>
        <w:rPr>
          <w:rFonts w:ascii="Times New Roman" w:eastAsia="Times New Roman" w:hAnsi="Times New Roman" w:cs="Times New Roman"/>
          <w:sz w:val="20"/>
          <w:szCs w:val="20"/>
        </w:rPr>
        <w:t>. Recuperado de:</w:t>
      </w:r>
      <w:hyperlink r:id="rId19">
        <w:r>
          <w:rPr>
            <w:rFonts w:ascii="Times New Roman" w:eastAsia="Times New Roman" w:hAnsi="Times New Roman" w:cs="Times New Roman"/>
            <w:color w:val="1155CC"/>
            <w:sz w:val="20"/>
            <w:szCs w:val="20"/>
            <w:u w:val="single"/>
          </w:rPr>
          <w:t>https://www.alt</w:t>
        </w:r>
        <w:r>
          <w:rPr>
            <w:rFonts w:ascii="Times New Roman" w:eastAsia="Times New Roman" w:hAnsi="Times New Roman" w:cs="Times New Roman"/>
            <w:color w:val="1155CC"/>
            <w:sz w:val="20"/>
            <w:szCs w:val="20"/>
            <w:u w:val="single"/>
          </w:rPr>
          <w:t>osempresarios.com/noticias/papel-de-las-startups-en-la-economia-de-colombia</w:t>
        </w:r>
      </w:hyperlink>
      <w:r>
        <w:rPr>
          <w:rFonts w:ascii="Times New Roman" w:eastAsia="Times New Roman" w:hAnsi="Times New Roman" w:cs="Times New Roman"/>
          <w:sz w:val="20"/>
          <w:szCs w:val="20"/>
        </w:rPr>
        <w:t xml:space="preserve"> </w:t>
      </w:r>
    </w:p>
  </w:footnote>
  <w:footnote w:id="31">
    <w:p w14:paraId="1CE63A55"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32">
    <w:p w14:paraId="1CE63A56"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Alfaro, Y. (2022). </w:t>
      </w:r>
      <w:r>
        <w:rPr>
          <w:rFonts w:ascii="Times New Roman" w:eastAsia="Times New Roman" w:hAnsi="Times New Roman" w:cs="Times New Roman"/>
          <w:i/>
          <w:sz w:val="20"/>
          <w:szCs w:val="20"/>
        </w:rPr>
        <w:t>El futuro de las startups en Colombia con la llegada de Petro al poder</w:t>
      </w:r>
      <w:r>
        <w:rPr>
          <w:rFonts w:ascii="Times New Roman" w:eastAsia="Times New Roman" w:hAnsi="Times New Roman" w:cs="Times New Roman"/>
          <w:sz w:val="20"/>
          <w:szCs w:val="20"/>
        </w:rPr>
        <w:t xml:space="preserve">. Recuperado de: </w:t>
      </w:r>
      <w:hyperlink r:id="rId20">
        <w:r>
          <w:rPr>
            <w:rFonts w:ascii="Times New Roman" w:eastAsia="Times New Roman" w:hAnsi="Times New Roman" w:cs="Times New Roman"/>
            <w:color w:val="1155CC"/>
            <w:sz w:val="20"/>
            <w:szCs w:val="20"/>
            <w:u w:val="single"/>
          </w:rPr>
          <w:t>https://www.bloomberglinea.com/2022/08/08/cual-sera-el-futuro-de-las-startups-en-colombia-con-la-llegada-de-petro-a</w:t>
        </w:r>
        <w:r>
          <w:rPr>
            <w:rFonts w:ascii="Times New Roman" w:eastAsia="Times New Roman" w:hAnsi="Times New Roman" w:cs="Times New Roman"/>
            <w:color w:val="1155CC"/>
            <w:sz w:val="20"/>
            <w:szCs w:val="20"/>
            <w:u w:val="single"/>
          </w:rPr>
          <w:t>l-poder/</w:t>
        </w:r>
      </w:hyperlink>
      <w:r>
        <w:rPr>
          <w:rFonts w:ascii="Times New Roman" w:eastAsia="Times New Roman" w:hAnsi="Times New Roman" w:cs="Times New Roman"/>
          <w:sz w:val="20"/>
          <w:szCs w:val="20"/>
        </w:rPr>
        <w:t xml:space="preserve"> </w:t>
      </w:r>
    </w:p>
  </w:footnote>
  <w:footnote w:id="33">
    <w:p w14:paraId="1CE63A57"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Cámara de Comercio de Bogotá. (2024). </w:t>
      </w:r>
      <w:r>
        <w:rPr>
          <w:rFonts w:ascii="Times New Roman" w:eastAsia="Times New Roman" w:hAnsi="Times New Roman" w:cs="Times New Roman"/>
          <w:i/>
          <w:sz w:val="20"/>
          <w:szCs w:val="20"/>
        </w:rPr>
        <w:t>Colombia Tech Report 2023-2024 - 3ra Edición</w:t>
      </w:r>
      <w:r>
        <w:rPr>
          <w:rFonts w:ascii="Times New Roman" w:eastAsia="Times New Roman" w:hAnsi="Times New Roman" w:cs="Times New Roman"/>
          <w:sz w:val="20"/>
          <w:szCs w:val="20"/>
        </w:rPr>
        <w:t xml:space="preserve">. Bogotá, Colombia. Recuperado de: </w:t>
      </w:r>
      <w:hyperlink r:id="rId21">
        <w:r>
          <w:rPr>
            <w:rFonts w:ascii="Times New Roman" w:eastAsia="Times New Roman" w:hAnsi="Times New Roman" w:cs="Times New Roman"/>
            <w:color w:val="1155CC"/>
            <w:sz w:val="20"/>
            <w:szCs w:val="20"/>
            <w:u w:val="single"/>
          </w:rPr>
          <w:t>Colombia Tech Report 2023-20</w:t>
        </w:r>
        <w:r>
          <w:rPr>
            <w:rFonts w:ascii="Times New Roman" w:eastAsia="Times New Roman" w:hAnsi="Times New Roman" w:cs="Times New Roman"/>
            <w:color w:val="1155CC"/>
            <w:sz w:val="20"/>
            <w:szCs w:val="20"/>
            <w:u w:val="single"/>
          </w:rPr>
          <w:t>24 - 3ra Edición (ccb.org.co)</w:t>
        </w:r>
      </w:hyperlink>
    </w:p>
  </w:footnote>
  <w:footnote w:id="34">
    <w:p w14:paraId="1CE63A58"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35">
    <w:p w14:paraId="1CE63A59"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36">
    <w:p w14:paraId="1CE63A5A"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37">
    <w:p w14:paraId="1CE63A5B"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38">
    <w:p w14:paraId="1CE63A5C"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Cámara de Comercio de Bogotá. (2024). Colombia Tech Report 2023-2024 - 3ra Edición. Bogotá, Colombia. </w:t>
      </w:r>
    </w:p>
  </w:footnote>
  <w:footnote w:id="39">
    <w:p w14:paraId="1CE63A5D"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Secretaría Distrital de Desarrollo Económico. (2023). </w:t>
      </w:r>
      <w:r>
        <w:rPr>
          <w:rFonts w:ascii="Times New Roman" w:eastAsia="Times New Roman" w:hAnsi="Times New Roman" w:cs="Times New Roman"/>
          <w:i/>
          <w:sz w:val="20"/>
          <w:szCs w:val="20"/>
        </w:rPr>
        <w:t>Fortalecimiento de la tra</w:t>
      </w:r>
      <w:r>
        <w:rPr>
          <w:rFonts w:ascii="Times New Roman" w:eastAsia="Times New Roman" w:hAnsi="Times New Roman" w:cs="Times New Roman"/>
          <w:i/>
          <w:sz w:val="20"/>
          <w:szCs w:val="20"/>
        </w:rPr>
        <w:t>nsformación digital en Bogotá</w:t>
      </w:r>
      <w:r>
        <w:rPr>
          <w:rFonts w:ascii="Times New Roman" w:eastAsia="Times New Roman" w:hAnsi="Times New Roman" w:cs="Times New Roman"/>
          <w:sz w:val="20"/>
          <w:szCs w:val="20"/>
        </w:rPr>
        <w:t xml:space="preserve">. Alcaldía de Bogotá. Recuperado de: </w:t>
      </w:r>
      <w:hyperlink r:id="rId22">
        <w:r>
          <w:rPr>
            <w:rFonts w:ascii="Times New Roman" w:eastAsia="Times New Roman" w:hAnsi="Times New Roman" w:cs="Times New Roman"/>
            <w:color w:val="1155CC"/>
            <w:sz w:val="20"/>
            <w:szCs w:val="20"/>
            <w:u w:val="single"/>
          </w:rPr>
          <w:t>https://bogota.gov.co/mi-ciudad/desarrollo-economic</w:t>
        </w:r>
        <w:r>
          <w:rPr>
            <w:rFonts w:ascii="Times New Roman" w:eastAsia="Times New Roman" w:hAnsi="Times New Roman" w:cs="Times New Roman"/>
            <w:color w:val="1155CC"/>
            <w:sz w:val="20"/>
            <w:szCs w:val="20"/>
            <w:u w:val="single"/>
          </w:rPr>
          <w:t>o/programa-entorno-fortalecio-transformacion-digital-empresas-bogota</w:t>
        </w:r>
      </w:hyperlink>
      <w:r>
        <w:rPr>
          <w:rFonts w:ascii="Times New Roman" w:eastAsia="Times New Roman" w:hAnsi="Times New Roman" w:cs="Times New Roman"/>
          <w:sz w:val="20"/>
          <w:szCs w:val="20"/>
        </w:rPr>
        <w:t xml:space="preserve"> </w:t>
      </w:r>
    </w:p>
  </w:footnote>
  <w:footnote w:id="40">
    <w:p w14:paraId="1CE63A5E"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Latam Republic. (2023). </w:t>
      </w:r>
      <w:r>
        <w:rPr>
          <w:rFonts w:ascii="Times New Roman" w:eastAsia="Times New Roman" w:hAnsi="Times New Roman" w:cs="Times New Roman"/>
          <w:i/>
          <w:sz w:val="20"/>
          <w:szCs w:val="20"/>
        </w:rPr>
        <w:t>The top 3 countries in Latin America for startup growth</w:t>
      </w:r>
      <w:r>
        <w:rPr>
          <w:rFonts w:ascii="Times New Roman" w:eastAsia="Times New Roman" w:hAnsi="Times New Roman" w:cs="Times New Roman"/>
          <w:sz w:val="20"/>
          <w:szCs w:val="20"/>
        </w:rPr>
        <w:t>.</w:t>
      </w:r>
      <w:hyperlink r:id="rId23">
        <w:r>
          <w:rPr>
            <w:rFonts w:ascii="Times New Roman" w:eastAsia="Times New Roman" w:hAnsi="Times New Roman" w:cs="Times New Roman"/>
            <w:sz w:val="20"/>
            <w:szCs w:val="20"/>
          </w:rPr>
          <w:t xml:space="preserve"> </w:t>
        </w:r>
      </w:hyperlink>
      <w:hyperlink r:id="rId24">
        <w:r>
          <w:rPr>
            <w:rFonts w:ascii="Times New Roman" w:eastAsia="Times New Roman" w:hAnsi="Times New Roman" w:cs="Times New Roman"/>
            <w:color w:val="1155CC"/>
            <w:sz w:val="20"/>
            <w:szCs w:val="20"/>
            <w:u w:val="single"/>
          </w:rPr>
          <w:t>https://www.latamrepublic.com/the-top-3-countries-in-latin-america-for-startup-growth</w:t>
        </w:r>
      </w:hyperlink>
    </w:p>
  </w:footnote>
  <w:footnote w:id="41">
    <w:p w14:paraId="1CE63A5F" w14:textId="77777777" w:rsidR="004D0443" w:rsidRDefault="00DA3067">
      <w:pPr>
        <w:jc w:val="both"/>
        <w:rPr>
          <w:rFonts w:ascii="Times New Roman" w:eastAsia="Times New Roman" w:hAnsi="Times New Roman" w:cs="Times New Roman"/>
          <w:sz w:val="20"/>
          <w:szCs w:val="20"/>
        </w:rPr>
      </w:pPr>
      <w:r>
        <w:rPr>
          <w:vertAlign w:val="superscript"/>
        </w:rPr>
        <w:footnoteRef/>
      </w:r>
      <w:r>
        <w:rPr>
          <w:sz w:val="20"/>
          <w:szCs w:val="20"/>
        </w:rPr>
        <w:t xml:space="preserve"> </w:t>
      </w:r>
      <w:r>
        <w:rPr>
          <w:rFonts w:ascii="Times New Roman" w:eastAsia="Times New Roman" w:hAnsi="Times New Roman" w:cs="Times New Roman"/>
          <w:sz w:val="20"/>
          <w:szCs w:val="20"/>
        </w:rPr>
        <w:t xml:space="preserve">Semana. (2024). </w:t>
      </w:r>
      <w:r>
        <w:rPr>
          <w:rFonts w:ascii="Times New Roman" w:eastAsia="Times New Roman" w:hAnsi="Times New Roman" w:cs="Times New Roman"/>
          <w:i/>
          <w:sz w:val="20"/>
          <w:szCs w:val="20"/>
        </w:rPr>
        <w:t>Bogotá fue premiada por sus procesos de desar</w:t>
      </w:r>
      <w:r>
        <w:rPr>
          <w:rFonts w:ascii="Times New Roman" w:eastAsia="Times New Roman" w:hAnsi="Times New Roman" w:cs="Times New Roman"/>
          <w:i/>
          <w:sz w:val="20"/>
          <w:szCs w:val="20"/>
        </w:rPr>
        <w:t>rollo tecnológico en pro del servicio al ciudadano</w:t>
      </w:r>
      <w:r>
        <w:rPr>
          <w:rFonts w:ascii="Times New Roman" w:eastAsia="Times New Roman" w:hAnsi="Times New Roman" w:cs="Times New Roman"/>
          <w:sz w:val="20"/>
          <w:szCs w:val="20"/>
        </w:rPr>
        <w:t xml:space="preserve">. Revista Semana. Recuperado de: </w:t>
      </w:r>
      <w:hyperlink r:id="rId25">
        <w:r>
          <w:rPr>
            <w:rFonts w:ascii="Times New Roman" w:eastAsia="Times New Roman" w:hAnsi="Times New Roman" w:cs="Times New Roman"/>
            <w:color w:val="1155CC"/>
            <w:sz w:val="20"/>
            <w:szCs w:val="20"/>
            <w:u w:val="single"/>
          </w:rPr>
          <w:t>https://www.semana.com/nacion/bogota/articulo/bogota-fue-premiada-por-sus-procesos-de-desarrollo-tecnologico-en-pro-del-servicio-al-ciudadano/202447/</w:t>
        </w:r>
      </w:hyperlink>
      <w:r>
        <w:rPr>
          <w:rFonts w:ascii="Times New Roman" w:eastAsia="Times New Roman" w:hAnsi="Times New Roman" w:cs="Times New Roman"/>
          <w:sz w:val="20"/>
          <w:szCs w:val="20"/>
        </w:rPr>
        <w:t xml:space="preserve"> </w:t>
      </w:r>
    </w:p>
  </w:footnote>
  <w:footnote w:id="42">
    <w:p w14:paraId="1CE63A60"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Top Open Startups. (2023).</w:t>
      </w:r>
      <w:r>
        <w:rPr>
          <w:rFonts w:ascii="Times New Roman" w:eastAsia="Times New Roman" w:hAnsi="Times New Roman" w:cs="Times New Roman"/>
          <w:i/>
          <w:sz w:val="20"/>
          <w:szCs w:val="20"/>
        </w:rPr>
        <w:t xml:space="preserve"> Ranking 100 Open Startups. 100 Open Startups</w:t>
      </w:r>
      <w:r>
        <w:rPr>
          <w:rFonts w:ascii="Times New Roman" w:eastAsia="Times New Roman" w:hAnsi="Times New Roman" w:cs="Times New Roman"/>
          <w:sz w:val="20"/>
          <w:szCs w:val="20"/>
        </w:rPr>
        <w:t xml:space="preserve">; 100 Open Startups. Recuperado </w:t>
      </w:r>
      <w:r>
        <w:rPr>
          <w:rFonts w:ascii="Times New Roman" w:eastAsia="Times New Roman" w:hAnsi="Times New Roman" w:cs="Times New Roman"/>
          <w:sz w:val="20"/>
          <w:szCs w:val="20"/>
        </w:rPr>
        <w:t xml:space="preserve">de: </w:t>
      </w:r>
      <w:hyperlink r:id="rId26">
        <w:r>
          <w:rPr>
            <w:rFonts w:ascii="Times New Roman" w:eastAsia="Times New Roman" w:hAnsi="Times New Roman" w:cs="Times New Roman"/>
            <w:color w:val="1155CC"/>
            <w:sz w:val="20"/>
            <w:szCs w:val="20"/>
            <w:u w:val="single"/>
          </w:rPr>
          <w:t>https://www.openstartups.net/site/ranking-colombia/rankings-startups.html</w:t>
        </w:r>
      </w:hyperlink>
      <w:r>
        <w:rPr>
          <w:rFonts w:ascii="Times New Roman" w:eastAsia="Times New Roman" w:hAnsi="Times New Roman" w:cs="Times New Roman"/>
          <w:sz w:val="20"/>
          <w:szCs w:val="20"/>
        </w:rPr>
        <w:t xml:space="preserve"> </w:t>
      </w:r>
    </w:p>
  </w:footnote>
  <w:footnote w:id="43">
    <w:p w14:paraId="1CE63A61"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 </w:t>
      </w:r>
    </w:p>
  </w:footnote>
  <w:footnote w:id="44">
    <w:p w14:paraId="1CE63A62"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45">
    <w:p w14:paraId="1CE63A63"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Invest in Bogotá (2024). </w:t>
      </w:r>
      <w:r>
        <w:rPr>
          <w:rFonts w:ascii="Times New Roman" w:eastAsia="Times New Roman" w:hAnsi="Times New Roman" w:cs="Times New Roman"/>
          <w:i/>
          <w:sz w:val="20"/>
          <w:szCs w:val="20"/>
        </w:rPr>
        <w:t>¡ScaleupBog, la plataforma del ecosi</w:t>
      </w:r>
      <w:r>
        <w:rPr>
          <w:rFonts w:ascii="Times New Roman" w:eastAsia="Times New Roman" w:hAnsi="Times New Roman" w:cs="Times New Roman"/>
          <w:i/>
          <w:sz w:val="20"/>
          <w:szCs w:val="20"/>
        </w:rPr>
        <w:t>stema  emprendedor de Bogotá Región, toma un nuevo impulso!</w:t>
      </w:r>
      <w:r>
        <w:rPr>
          <w:rFonts w:ascii="Times New Roman" w:eastAsia="Times New Roman" w:hAnsi="Times New Roman" w:cs="Times New Roman"/>
          <w:sz w:val="20"/>
          <w:szCs w:val="20"/>
        </w:rPr>
        <w:t xml:space="preserve"> Bogotá, Colombia. Recuperado de:</w:t>
      </w:r>
      <w:hyperlink r:id="rId27">
        <w:r>
          <w:rPr>
            <w:rFonts w:ascii="Times New Roman" w:eastAsia="Times New Roman" w:hAnsi="Times New Roman" w:cs="Times New Roman"/>
            <w:color w:val="1155CC"/>
            <w:sz w:val="20"/>
            <w:szCs w:val="20"/>
            <w:u w:val="single"/>
          </w:rPr>
          <w:t>https://es.inv</w:t>
        </w:r>
        <w:r>
          <w:rPr>
            <w:rFonts w:ascii="Times New Roman" w:eastAsia="Times New Roman" w:hAnsi="Times New Roman" w:cs="Times New Roman"/>
            <w:color w:val="1155CC"/>
            <w:sz w:val="20"/>
            <w:szCs w:val="20"/>
            <w:u w:val="single"/>
          </w:rPr>
          <w:t>estinbogota.org/noticias/scaleupbog-la-plataforma-del-ecosistema-emprendedor-de-bogota-region-toma-un-nuevo-impulso/</w:t>
        </w:r>
      </w:hyperlink>
      <w:r>
        <w:rPr>
          <w:rFonts w:ascii="Times New Roman" w:eastAsia="Times New Roman" w:hAnsi="Times New Roman" w:cs="Times New Roman"/>
          <w:sz w:val="20"/>
          <w:szCs w:val="20"/>
        </w:rPr>
        <w:t xml:space="preserve"> </w:t>
      </w:r>
    </w:p>
  </w:footnote>
  <w:footnote w:id="46">
    <w:p w14:paraId="1CE63A64"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47">
    <w:p w14:paraId="1CE63A65"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48">
    <w:p w14:paraId="1CE63A66"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SacaleUpBog. (2024). </w:t>
      </w:r>
      <w:r>
        <w:rPr>
          <w:rFonts w:ascii="Times New Roman" w:eastAsia="Times New Roman" w:hAnsi="Times New Roman" w:cs="Times New Roman"/>
          <w:i/>
          <w:sz w:val="20"/>
          <w:szCs w:val="20"/>
        </w:rPr>
        <w:t>Ecosistema - Scaleupbog</w:t>
      </w:r>
      <w:r>
        <w:rPr>
          <w:rFonts w:ascii="Times New Roman" w:eastAsia="Times New Roman" w:hAnsi="Times New Roman" w:cs="Times New Roman"/>
          <w:sz w:val="20"/>
          <w:szCs w:val="20"/>
        </w:rPr>
        <w:t xml:space="preserve">.  Recuperado de: </w:t>
      </w:r>
      <w:hyperlink r:id="rId28">
        <w:r>
          <w:rPr>
            <w:rFonts w:ascii="Times New Roman" w:eastAsia="Times New Roman" w:hAnsi="Times New Roman" w:cs="Times New Roman"/>
            <w:color w:val="1155CC"/>
            <w:sz w:val="20"/>
            <w:szCs w:val="20"/>
            <w:u w:val="single"/>
          </w:rPr>
          <w:t>h</w:t>
        </w:r>
        <w:r>
          <w:rPr>
            <w:rFonts w:ascii="Times New Roman" w:eastAsia="Times New Roman" w:hAnsi="Times New Roman" w:cs="Times New Roman"/>
            <w:color w:val="1155CC"/>
            <w:sz w:val="20"/>
            <w:szCs w:val="20"/>
            <w:u w:val="single"/>
          </w:rPr>
          <w:t>ttps://scaleupbog.co/ecosistema/</w:t>
        </w:r>
      </w:hyperlink>
      <w:r>
        <w:rPr>
          <w:rFonts w:ascii="Times New Roman" w:eastAsia="Times New Roman" w:hAnsi="Times New Roman" w:cs="Times New Roman"/>
          <w:sz w:val="20"/>
          <w:szCs w:val="20"/>
        </w:rPr>
        <w:t xml:space="preserve"> </w:t>
      </w:r>
    </w:p>
  </w:footnote>
  <w:footnote w:id="49">
    <w:p w14:paraId="1CE63A67"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50">
    <w:p w14:paraId="1CE63A68"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Universidad de los Andes. (2023). </w:t>
      </w:r>
      <w:r>
        <w:rPr>
          <w:rFonts w:ascii="Times New Roman" w:eastAsia="Times New Roman" w:hAnsi="Times New Roman" w:cs="Times New Roman"/>
          <w:i/>
          <w:sz w:val="20"/>
          <w:szCs w:val="20"/>
        </w:rPr>
        <w:t>Análisis de datos, clave en el crecimiento de las startups</w:t>
      </w:r>
      <w:r>
        <w:rPr>
          <w:rFonts w:ascii="Times New Roman" w:eastAsia="Times New Roman" w:hAnsi="Times New Roman" w:cs="Times New Roman"/>
          <w:sz w:val="20"/>
          <w:szCs w:val="20"/>
        </w:rPr>
        <w:t xml:space="preserve">. Recuperado de: </w:t>
      </w:r>
      <w:hyperlink r:id="rId29">
        <w:r>
          <w:rPr>
            <w:rFonts w:ascii="Times New Roman" w:eastAsia="Times New Roman" w:hAnsi="Times New Roman" w:cs="Times New Roman"/>
            <w:color w:val="1155CC"/>
            <w:sz w:val="20"/>
            <w:szCs w:val="20"/>
            <w:u w:val="single"/>
          </w:rPr>
          <w:t>https://uniandes.edu.co/es/noticias/ingenieria/analisis-de-datos-clave-en-el-crecimiento-de-las-startups</w:t>
        </w:r>
      </w:hyperlink>
      <w:r>
        <w:rPr>
          <w:rFonts w:ascii="Times New Roman" w:eastAsia="Times New Roman" w:hAnsi="Times New Roman" w:cs="Times New Roman"/>
          <w:sz w:val="20"/>
          <w:szCs w:val="20"/>
        </w:rPr>
        <w:t>.</w:t>
      </w:r>
    </w:p>
  </w:footnote>
  <w:footnote w:id="51">
    <w:p w14:paraId="1CE63A69"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Cohen, V. (2024). </w:t>
      </w:r>
      <w:r>
        <w:rPr>
          <w:rFonts w:ascii="Times New Roman" w:eastAsia="Times New Roman" w:hAnsi="Times New Roman" w:cs="Times New Roman"/>
          <w:i/>
          <w:sz w:val="20"/>
          <w:szCs w:val="20"/>
        </w:rPr>
        <w:t>Meet Rap</w:t>
      </w:r>
      <w:r>
        <w:rPr>
          <w:rFonts w:ascii="Times New Roman" w:eastAsia="Times New Roman" w:hAnsi="Times New Roman" w:cs="Times New Roman"/>
          <w:i/>
          <w:sz w:val="20"/>
          <w:szCs w:val="20"/>
        </w:rPr>
        <w:t>pi, the Leading Colombian Delivery App</w:t>
      </w:r>
      <w:r>
        <w:rPr>
          <w:rFonts w:ascii="Times New Roman" w:eastAsia="Times New Roman" w:hAnsi="Times New Roman" w:cs="Times New Roman"/>
          <w:sz w:val="20"/>
          <w:szCs w:val="20"/>
        </w:rPr>
        <w:t xml:space="preserve">. ColombiaOne. Recuperado de: </w:t>
      </w:r>
      <w:hyperlink r:id="rId30">
        <w:r>
          <w:rPr>
            <w:rFonts w:ascii="Times New Roman" w:eastAsia="Times New Roman" w:hAnsi="Times New Roman" w:cs="Times New Roman"/>
            <w:color w:val="1155CC"/>
            <w:sz w:val="20"/>
            <w:szCs w:val="20"/>
            <w:u w:val="single"/>
          </w:rPr>
          <w:t>https://colombiaone.com/2024/04/21/rappi-colombian-delivery-app/</w:t>
        </w:r>
      </w:hyperlink>
      <w:r>
        <w:rPr>
          <w:rFonts w:ascii="Times New Roman" w:eastAsia="Times New Roman" w:hAnsi="Times New Roman" w:cs="Times New Roman"/>
          <w:sz w:val="20"/>
          <w:szCs w:val="20"/>
        </w:rPr>
        <w:t xml:space="preserve"> </w:t>
      </w:r>
    </w:p>
  </w:footnote>
  <w:footnote w:id="52">
    <w:p w14:paraId="1CE63A6A"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Fernández, I. (2022). </w:t>
      </w:r>
      <w:r>
        <w:rPr>
          <w:rFonts w:ascii="Times New Roman" w:eastAsia="Times New Roman" w:hAnsi="Times New Roman" w:cs="Times New Roman"/>
          <w:i/>
          <w:sz w:val="20"/>
          <w:szCs w:val="20"/>
        </w:rPr>
        <w:t>Habi: el segundo unicornio de Colombia después de Rappi</w:t>
      </w:r>
      <w:r>
        <w:rPr>
          <w:rFonts w:ascii="Times New Roman" w:eastAsia="Times New Roman" w:hAnsi="Times New Roman" w:cs="Times New Roman"/>
          <w:sz w:val="20"/>
          <w:szCs w:val="20"/>
        </w:rPr>
        <w:t xml:space="preserve">. Asilo Digital. </w:t>
      </w:r>
      <w:hyperlink r:id="rId31">
        <w:r>
          <w:rPr>
            <w:rFonts w:ascii="Times New Roman" w:eastAsia="Times New Roman" w:hAnsi="Times New Roman" w:cs="Times New Roman"/>
            <w:color w:val="1155CC"/>
            <w:sz w:val="20"/>
            <w:szCs w:val="20"/>
            <w:u w:val="single"/>
          </w:rPr>
          <w:t>Habi: el segundo unicornio de Colombia después de Rappi (asilodigital.com)</w:t>
        </w:r>
      </w:hyperlink>
    </w:p>
  </w:footnote>
  <w:footnote w:id="53">
    <w:p w14:paraId="1CE63A6B"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IDB Invest. (2021, 1 de di</w:t>
      </w:r>
      <w:r>
        <w:rPr>
          <w:rFonts w:ascii="Times New Roman" w:eastAsia="Times New Roman" w:hAnsi="Times New Roman" w:cs="Times New Roman"/>
          <w:sz w:val="20"/>
          <w:szCs w:val="20"/>
        </w:rPr>
        <w:t xml:space="preserve">ciembre). </w:t>
      </w:r>
      <w:r>
        <w:rPr>
          <w:rFonts w:ascii="Times New Roman" w:eastAsia="Times New Roman" w:hAnsi="Times New Roman" w:cs="Times New Roman"/>
          <w:i/>
          <w:sz w:val="20"/>
          <w:szCs w:val="20"/>
        </w:rPr>
        <w:t>IDB Invest promotes innovation through Merqueo investment</w:t>
      </w:r>
      <w:r>
        <w:rPr>
          <w:rFonts w:ascii="Times New Roman" w:eastAsia="Times New Roman" w:hAnsi="Times New Roman" w:cs="Times New Roman"/>
          <w:sz w:val="20"/>
          <w:szCs w:val="20"/>
        </w:rPr>
        <w:t>. IDB Invest.</w:t>
      </w:r>
      <w:hyperlink r:id="rId32">
        <w:r>
          <w:rPr>
            <w:rFonts w:ascii="Times New Roman" w:eastAsia="Times New Roman" w:hAnsi="Times New Roman" w:cs="Times New Roman"/>
            <w:sz w:val="20"/>
            <w:szCs w:val="20"/>
          </w:rPr>
          <w:t xml:space="preserve"> </w:t>
        </w:r>
      </w:hyperlink>
      <w:hyperlink r:id="rId33">
        <w:r>
          <w:rPr>
            <w:rFonts w:ascii="Times New Roman" w:eastAsia="Times New Roman" w:hAnsi="Times New Roman" w:cs="Times New Roman"/>
            <w:color w:val="1155CC"/>
            <w:sz w:val="20"/>
            <w:szCs w:val="20"/>
            <w:u w:val="single"/>
          </w:rPr>
          <w:t>https://www.idbinvest.org/en/news-media/idb-invest-promotes-innovation-through-merqueo-investment</w:t>
        </w:r>
      </w:hyperlink>
    </w:p>
  </w:footnote>
  <w:footnote w:id="54">
    <w:p w14:paraId="1CE63A6C"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Tincello, K. (2022). </w:t>
      </w:r>
      <w:r>
        <w:rPr>
          <w:rFonts w:ascii="Times New Roman" w:eastAsia="Times New Roman" w:hAnsi="Times New Roman" w:cs="Times New Roman"/>
          <w:i/>
          <w:sz w:val="20"/>
          <w:szCs w:val="20"/>
        </w:rPr>
        <w:t>Ubits edtech raises $25M Series B for launch into Spain</w:t>
      </w:r>
      <w:r>
        <w:rPr>
          <w:rFonts w:ascii="Times New Roman" w:eastAsia="Times New Roman" w:hAnsi="Times New Roman" w:cs="Times New Roman"/>
          <w:sz w:val="20"/>
          <w:szCs w:val="20"/>
        </w:rPr>
        <w:t>. LatamList.</w:t>
      </w:r>
      <w:hyperlink r:id="rId34">
        <w:r>
          <w:rPr>
            <w:rFonts w:ascii="Times New Roman" w:eastAsia="Times New Roman" w:hAnsi="Times New Roman" w:cs="Times New Roman"/>
            <w:sz w:val="20"/>
            <w:szCs w:val="20"/>
          </w:rPr>
          <w:t xml:space="preserve"> </w:t>
        </w:r>
      </w:hyperlink>
      <w:hyperlink r:id="rId35">
        <w:r>
          <w:rPr>
            <w:rFonts w:ascii="Times New Roman" w:eastAsia="Times New Roman" w:hAnsi="Times New Roman" w:cs="Times New Roman"/>
            <w:color w:val="1155CC"/>
            <w:sz w:val="20"/>
            <w:szCs w:val="20"/>
            <w:u w:val="single"/>
          </w:rPr>
          <w:t>https://latamlist.com/ubits-edtech-raises-25m-series-b-for-launch-into</w:t>
        </w:r>
        <w:r>
          <w:rPr>
            <w:rFonts w:ascii="Times New Roman" w:eastAsia="Times New Roman" w:hAnsi="Times New Roman" w:cs="Times New Roman"/>
            <w:color w:val="1155CC"/>
            <w:sz w:val="20"/>
            <w:szCs w:val="20"/>
            <w:u w:val="single"/>
          </w:rPr>
          <w:t>-spain/</w:t>
        </w:r>
      </w:hyperlink>
    </w:p>
  </w:footnote>
  <w:footnote w:id="55">
    <w:p w14:paraId="1CE63A6D"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Caparroso, J. (2023). </w:t>
      </w:r>
      <w:r>
        <w:rPr>
          <w:rFonts w:ascii="Times New Roman" w:eastAsia="Times New Roman" w:hAnsi="Times New Roman" w:cs="Times New Roman"/>
          <w:i/>
          <w:sz w:val="20"/>
          <w:szCs w:val="20"/>
        </w:rPr>
        <w:t>Las 100 mejores startups de Colombia 2023</w:t>
      </w:r>
      <w:r>
        <w:rPr>
          <w:rFonts w:ascii="Times New Roman" w:eastAsia="Times New Roman" w:hAnsi="Times New Roman" w:cs="Times New Roman"/>
          <w:sz w:val="20"/>
          <w:szCs w:val="20"/>
        </w:rPr>
        <w:t>. Forbes Colombia. Recuperado de:</w:t>
      </w:r>
      <w:hyperlink r:id="rId36">
        <w:r>
          <w:rPr>
            <w:rFonts w:ascii="Times New Roman" w:eastAsia="Times New Roman" w:hAnsi="Times New Roman" w:cs="Times New Roman"/>
            <w:sz w:val="20"/>
            <w:szCs w:val="20"/>
          </w:rPr>
          <w:t xml:space="preserve"> </w:t>
        </w:r>
      </w:hyperlink>
      <w:hyperlink r:id="rId37">
        <w:r>
          <w:rPr>
            <w:rFonts w:ascii="Times New Roman" w:eastAsia="Times New Roman" w:hAnsi="Times New Roman" w:cs="Times New Roman"/>
            <w:color w:val="1155CC"/>
            <w:sz w:val="20"/>
            <w:szCs w:val="20"/>
            <w:u w:val="single"/>
          </w:rPr>
          <w:t>https://forbes.co/2023/11/10/emprendedores/las-100-mejores-startups-de-colombia-2023</w:t>
        </w:r>
      </w:hyperlink>
    </w:p>
  </w:footnote>
  <w:footnote w:id="56">
    <w:p w14:paraId="1CE63A6E"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Contxto. (2024). </w:t>
      </w:r>
      <w:r>
        <w:rPr>
          <w:rFonts w:ascii="Times New Roman" w:eastAsia="Times New Roman" w:hAnsi="Times New Roman" w:cs="Times New Roman"/>
          <w:i/>
          <w:sz w:val="20"/>
          <w:szCs w:val="20"/>
        </w:rPr>
        <w:t>Emerging Startups in Colombia: Kravata, SEOS, Castia, and Golazzos</w:t>
      </w:r>
      <w:r>
        <w:rPr>
          <w:rFonts w:ascii="Times New Roman" w:eastAsia="Times New Roman" w:hAnsi="Times New Roman" w:cs="Times New Roman"/>
          <w:sz w:val="20"/>
          <w:szCs w:val="20"/>
        </w:rPr>
        <w:t xml:space="preserve">. Recuperado de: </w:t>
      </w:r>
      <w:hyperlink r:id="rId38">
        <w:r>
          <w:rPr>
            <w:rFonts w:ascii="Times New Roman" w:eastAsia="Times New Roman" w:hAnsi="Times New Roman" w:cs="Times New Roman"/>
            <w:color w:val="1155CC"/>
            <w:sz w:val="20"/>
            <w:szCs w:val="20"/>
            <w:u w:val="single"/>
          </w:rPr>
          <w:t>https://contxto.com/en/news/colombian-startup-kravata-raises-3-6-million-for-latin-american-expansion/</w:t>
        </w:r>
      </w:hyperlink>
      <w:r>
        <w:rPr>
          <w:rFonts w:ascii="Times New Roman" w:eastAsia="Times New Roman" w:hAnsi="Times New Roman" w:cs="Times New Roman"/>
          <w:sz w:val="20"/>
          <w:szCs w:val="20"/>
        </w:rPr>
        <w:t xml:space="preserve"> </w:t>
      </w:r>
    </w:p>
  </w:footnote>
  <w:footnote w:id="57">
    <w:p w14:paraId="1CE63A6F"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58">
    <w:p w14:paraId="1CE63A70"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Métricas. (2023). </w:t>
      </w:r>
      <w:r>
        <w:rPr>
          <w:rFonts w:ascii="Times New Roman" w:eastAsia="Times New Roman" w:hAnsi="Times New Roman" w:cs="Times New Roman"/>
          <w:i/>
          <w:sz w:val="20"/>
          <w:szCs w:val="20"/>
        </w:rPr>
        <w:t>La importa</w:t>
      </w:r>
      <w:r>
        <w:rPr>
          <w:rFonts w:ascii="Times New Roman" w:eastAsia="Times New Roman" w:hAnsi="Times New Roman" w:cs="Times New Roman"/>
          <w:i/>
          <w:sz w:val="20"/>
          <w:szCs w:val="20"/>
        </w:rPr>
        <w:t xml:space="preserve">ncia de las empresas Fintech en América Latina. </w:t>
      </w:r>
      <w:r>
        <w:rPr>
          <w:rFonts w:ascii="Times New Roman" w:eastAsia="Times New Roman" w:hAnsi="Times New Roman" w:cs="Times New Roman"/>
          <w:sz w:val="20"/>
          <w:szCs w:val="20"/>
        </w:rPr>
        <w:t xml:space="preserve">Metricas.mx. Recuperado de: </w:t>
      </w:r>
      <w:hyperlink r:id="rId39">
        <w:r>
          <w:rPr>
            <w:rFonts w:ascii="Times New Roman" w:eastAsia="Times New Roman" w:hAnsi="Times New Roman" w:cs="Times New Roman"/>
            <w:color w:val="1155CC"/>
            <w:sz w:val="20"/>
            <w:szCs w:val="20"/>
            <w:u w:val="single"/>
          </w:rPr>
          <w:t>https://metricas.mx/blog/empresas-fintech-en-america-latina</w:t>
        </w:r>
      </w:hyperlink>
      <w:r>
        <w:rPr>
          <w:rFonts w:ascii="Times New Roman" w:eastAsia="Times New Roman" w:hAnsi="Times New Roman" w:cs="Times New Roman"/>
          <w:sz w:val="20"/>
          <w:szCs w:val="20"/>
        </w:rPr>
        <w:t xml:space="preserve"> </w:t>
      </w:r>
    </w:p>
  </w:footnote>
  <w:footnote w:id="59">
    <w:p w14:paraId="1CE63A71"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Colombia Fintech. (2022). </w:t>
      </w:r>
      <w:r>
        <w:rPr>
          <w:rFonts w:ascii="Times New Roman" w:eastAsia="Times New Roman" w:hAnsi="Times New Roman" w:cs="Times New Roman"/>
          <w:i/>
          <w:sz w:val="20"/>
          <w:szCs w:val="20"/>
        </w:rPr>
        <w:t>Fintech: presente y futuro del mercado financiero</w:t>
      </w:r>
      <w:r>
        <w:rPr>
          <w:rFonts w:ascii="Times New Roman" w:eastAsia="Times New Roman" w:hAnsi="Times New Roman" w:cs="Times New Roman"/>
          <w:sz w:val="20"/>
          <w:szCs w:val="20"/>
        </w:rPr>
        <w:t xml:space="preserve"> Recuperado de:</w:t>
      </w:r>
      <w:hyperlink r:id="rId40">
        <w:r>
          <w:rPr>
            <w:rFonts w:ascii="Times New Roman" w:eastAsia="Times New Roman" w:hAnsi="Times New Roman" w:cs="Times New Roman"/>
            <w:color w:val="1155CC"/>
            <w:sz w:val="20"/>
            <w:szCs w:val="20"/>
            <w:u w:val="single"/>
          </w:rPr>
          <w:t>https://www.colombiafintech.co/lineaDeTiempo/articulo/fintech-presente</w:t>
        </w:r>
        <w:r>
          <w:rPr>
            <w:rFonts w:ascii="Times New Roman" w:eastAsia="Times New Roman" w:hAnsi="Times New Roman" w:cs="Times New Roman"/>
            <w:color w:val="1155CC"/>
            <w:sz w:val="20"/>
            <w:szCs w:val="20"/>
            <w:u w:val="single"/>
          </w:rPr>
          <w:t>-y-futuro-del-mercado-financiero</w:t>
        </w:r>
      </w:hyperlink>
      <w:r>
        <w:rPr>
          <w:rFonts w:ascii="Times New Roman" w:eastAsia="Times New Roman" w:hAnsi="Times New Roman" w:cs="Times New Roman"/>
          <w:sz w:val="20"/>
          <w:szCs w:val="20"/>
        </w:rPr>
        <w:t xml:space="preserve"> </w:t>
      </w:r>
    </w:p>
  </w:footnote>
  <w:footnote w:id="60">
    <w:p w14:paraId="1CE63A72"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Deloitte Colombia. (2023). </w:t>
      </w:r>
      <w:r>
        <w:rPr>
          <w:rFonts w:ascii="Times New Roman" w:eastAsia="Times New Roman" w:hAnsi="Times New Roman" w:cs="Times New Roman"/>
          <w:i/>
          <w:sz w:val="20"/>
          <w:szCs w:val="20"/>
        </w:rPr>
        <w:t>La Industria Fintech en América Latina</w:t>
      </w:r>
      <w:r>
        <w:rPr>
          <w:rFonts w:ascii="Times New Roman" w:eastAsia="Times New Roman" w:hAnsi="Times New Roman" w:cs="Times New Roman"/>
          <w:sz w:val="20"/>
          <w:szCs w:val="20"/>
        </w:rPr>
        <w:t xml:space="preserve">. Recuperado de: </w:t>
      </w:r>
      <w:hyperlink r:id="rId41">
        <w:r>
          <w:rPr>
            <w:rFonts w:ascii="Times New Roman" w:eastAsia="Times New Roman" w:hAnsi="Times New Roman" w:cs="Times New Roman"/>
            <w:color w:val="1155CC"/>
            <w:sz w:val="20"/>
            <w:szCs w:val="20"/>
            <w:u w:val="single"/>
          </w:rPr>
          <w:t>https://www2.deloitte.c</w:t>
        </w:r>
        <w:r>
          <w:rPr>
            <w:rFonts w:ascii="Times New Roman" w:eastAsia="Times New Roman" w:hAnsi="Times New Roman" w:cs="Times New Roman"/>
            <w:color w:val="1155CC"/>
            <w:sz w:val="20"/>
            <w:szCs w:val="20"/>
            <w:u w:val="single"/>
          </w:rPr>
          <w:t>om/co/es/pages/finance/articles/la_industria_fintechenamericalatina.html</w:t>
        </w:r>
      </w:hyperlink>
      <w:r>
        <w:rPr>
          <w:rFonts w:ascii="Times New Roman" w:eastAsia="Times New Roman" w:hAnsi="Times New Roman" w:cs="Times New Roman"/>
          <w:sz w:val="20"/>
          <w:szCs w:val="20"/>
        </w:rPr>
        <w:t xml:space="preserve"> </w:t>
      </w:r>
    </w:p>
  </w:footnote>
  <w:footnote w:id="61">
    <w:p w14:paraId="1CE63A73"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Aizenman, R. (2023). </w:t>
      </w:r>
      <w:r>
        <w:rPr>
          <w:rFonts w:ascii="Times New Roman" w:eastAsia="Times New Roman" w:hAnsi="Times New Roman" w:cs="Times New Roman"/>
          <w:i/>
          <w:sz w:val="20"/>
          <w:szCs w:val="20"/>
        </w:rPr>
        <w:t>El papel transformador de las fintech en la inclusión financiera</w:t>
      </w:r>
      <w:r>
        <w:rPr>
          <w:rFonts w:ascii="Times New Roman" w:eastAsia="Times New Roman" w:hAnsi="Times New Roman" w:cs="Times New Roman"/>
          <w:sz w:val="20"/>
          <w:szCs w:val="20"/>
        </w:rPr>
        <w:t xml:space="preserve">. Forbes México. Recuperado de: </w:t>
      </w:r>
      <w:hyperlink r:id="rId42" w:anchor=":~:text=La%20convergencia%20de%20la%20inclusi%C3%B3n%20financiera%20y%20la,personas%20m%C3%A1s%20marginadas%20una%20entrada%20al%20sistema%20financiero">
        <w:r>
          <w:rPr>
            <w:rFonts w:ascii="Times New Roman" w:eastAsia="Times New Roman" w:hAnsi="Times New Roman" w:cs="Times New Roman"/>
            <w:color w:val="1155CC"/>
            <w:sz w:val="20"/>
            <w:szCs w:val="20"/>
            <w:u w:val="single"/>
          </w:rPr>
          <w:t>https://www.forbes.com.mx/el-papel-transformador-de</w:t>
        </w:r>
        <w:r>
          <w:rPr>
            <w:rFonts w:ascii="Times New Roman" w:eastAsia="Times New Roman" w:hAnsi="Times New Roman" w:cs="Times New Roman"/>
            <w:color w:val="1155CC"/>
            <w:sz w:val="20"/>
            <w:szCs w:val="20"/>
            <w:u w:val="single"/>
          </w:rPr>
          <w:t>-las-fintech-en-la-inclusion-financiera/#:~:text=La%20convergencia%20de%20la%20inclusi%C3%B3n%20financiera%20y%20la,personas%20m%C3%A1s%20marginadas%20una%20entrada%20al%20sistema%20financiero</w:t>
        </w:r>
      </w:hyperlink>
      <w:r>
        <w:rPr>
          <w:rFonts w:ascii="Times New Roman" w:eastAsia="Times New Roman" w:hAnsi="Times New Roman" w:cs="Times New Roman"/>
          <w:sz w:val="20"/>
          <w:szCs w:val="20"/>
        </w:rPr>
        <w:t>.</w:t>
      </w:r>
    </w:p>
  </w:footnote>
  <w:footnote w:id="62">
    <w:p w14:paraId="1CE63A74"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Banco Interamericano de Desarrollo (BID). (2020). </w:t>
      </w:r>
      <w:r>
        <w:rPr>
          <w:rFonts w:ascii="Times New Roman" w:eastAsia="Times New Roman" w:hAnsi="Times New Roman" w:cs="Times New Roman"/>
          <w:i/>
          <w:sz w:val="20"/>
          <w:szCs w:val="20"/>
        </w:rPr>
        <w:t>Fintech en</w:t>
      </w:r>
      <w:r>
        <w:rPr>
          <w:rFonts w:ascii="Times New Roman" w:eastAsia="Times New Roman" w:hAnsi="Times New Roman" w:cs="Times New Roman"/>
          <w:i/>
          <w:sz w:val="20"/>
          <w:szCs w:val="20"/>
        </w:rPr>
        <w:t xml:space="preserve"> América Latina y el Caribe: un ecosistema consolidado para la recuperación</w:t>
      </w:r>
      <w:r>
        <w:rPr>
          <w:rFonts w:ascii="Times New Roman" w:eastAsia="Times New Roman" w:hAnsi="Times New Roman" w:cs="Times New Roman"/>
          <w:sz w:val="20"/>
          <w:szCs w:val="20"/>
        </w:rPr>
        <w:t xml:space="preserve">. Recuperado de: </w:t>
      </w:r>
      <w:hyperlink r:id="rId43">
        <w:r>
          <w:rPr>
            <w:rFonts w:ascii="Times New Roman" w:eastAsia="Times New Roman" w:hAnsi="Times New Roman" w:cs="Times New Roman"/>
            <w:color w:val="1155CC"/>
            <w:sz w:val="20"/>
            <w:szCs w:val="20"/>
            <w:u w:val="single"/>
          </w:rPr>
          <w:t>https://publications.iadb.o</w:t>
        </w:r>
        <w:r>
          <w:rPr>
            <w:rFonts w:ascii="Times New Roman" w:eastAsia="Times New Roman" w:hAnsi="Times New Roman" w:cs="Times New Roman"/>
            <w:color w:val="1155CC"/>
            <w:sz w:val="20"/>
            <w:szCs w:val="20"/>
            <w:u w:val="single"/>
          </w:rPr>
          <w:t>rg/es/fintech-en-america-latina-y-el-caribe-un-ecosistema-consolidado-para-la-recuperacion</w:t>
        </w:r>
      </w:hyperlink>
      <w:r>
        <w:rPr>
          <w:rFonts w:ascii="Times New Roman" w:eastAsia="Times New Roman" w:hAnsi="Times New Roman" w:cs="Times New Roman"/>
          <w:sz w:val="20"/>
          <w:szCs w:val="20"/>
        </w:rPr>
        <w:t xml:space="preserve"> </w:t>
      </w:r>
    </w:p>
  </w:footnote>
  <w:footnote w:id="63">
    <w:p w14:paraId="1CE63A75"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64">
    <w:p w14:paraId="1CE63A76"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Cardona, A. (2024). </w:t>
      </w:r>
      <w:r>
        <w:rPr>
          <w:rFonts w:ascii="Times New Roman" w:eastAsia="Times New Roman" w:hAnsi="Times New Roman" w:cs="Times New Roman"/>
          <w:i/>
          <w:sz w:val="20"/>
          <w:szCs w:val="20"/>
        </w:rPr>
        <w:t>Más allá de Rappi y Platzi: Conozca cuatro startups que prometen mayor impacto para Colombia y América Latina</w:t>
      </w:r>
      <w:r>
        <w:rPr>
          <w:rFonts w:ascii="Times New Roman" w:eastAsia="Times New Roman" w:hAnsi="Times New Roman" w:cs="Times New Roman"/>
          <w:sz w:val="20"/>
          <w:szCs w:val="20"/>
        </w:rPr>
        <w:t>. Valora Analitik. Recu</w:t>
      </w:r>
      <w:r>
        <w:rPr>
          <w:rFonts w:ascii="Times New Roman" w:eastAsia="Times New Roman" w:hAnsi="Times New Roman" w:cs="Times New Roman"/>
          <w:sz w:val="20"/>
          <w:szCs w:val="20"/>
        </w:rPr>
        <w:t xml:space="preserve">perado de: </w:t>
      </w:r>
      <w:hyperlink r:id="rId44">
        <w:r>
          <w:rPr>
            <w:rFonts w:ascii="Times New Roman" w:eastAsia="Times New Roman" w:hAnsi="Times New Roman" w:cs="Times New Roman"/>
            <w:color w:val="1155CC"/>
            <w:sz w:val="20"/>
            <w:szCs w:val="20"/>
            <w:u w:val="single"/>
          </w:rPr>
          <w:t>https://www.valoraanalitik.com/capital-summit-nuevas-startups-colombia-america-latina/</w:t>
        </w:r>
      </w:hyperlink>
      <w:r>
        <w:rPr>
          <w:rFonts w:ascii="Times New Roman" w:eastAsia="Times New Roman" w:hAnsi="Times New Roman" w:cs="Times New Roman"/>
          <w:sz w:val="20"/>
          <w:szCs w:val="20"/>
        </w:rPr>
        <w:t xml:space="preserve"> </w:t>
      </w:r>
    </w:p>
  </w:footnote>
  <w:footnote w:id="65">
    <w:p w14:paraId="1CE63A77"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66">
    <w:p w14:paraId="1CE63A78"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Saavedra, L. (2024). </w:t>
      </w:r>
      <w:r>
        <w:rPr>
          <w:rFonts w:ascii="Times New Roman" w:eastAsia="Times New Roman" w:hAnsi="Times New Roman" w:cs="Times New Roman"/>
          <w:i/>
          <w:sz w:val="20"/>
          <w:szCs w:val="20"/>
        </w:rPr>
        <w:t>¿Cuáles son sus in</w:t>
      </w:r>
      <w:r>
        <w:rPr>
          <w:rFonts w:ascii="Times New Roman" w:eastAsia="Times New Roman" w:hAnsi="Times New Roman" w:cs="Times New Roman"/>
          <w:i/>
          <w:sz w:val="20"/>
          <w:szCs w:val="20"/>
        </w:rPr>
        <w:t>novaciones? Conoce a las 10 startups finalistas de StartCo 2024</w:t>
      </w:r>
      <w:r>
        <w:rPr>
          <w:rFonts w:ascii="Times New Roman" w:eastAsia="Times New Roman" w:hAnsi="Times New Roman" w:cs="Times New Roman"/>
          <w:sz w:val="20"/>
          <w:szCs w:val="20"/>
        </w:rPr>
        <w:t>. Startups Latam. Recuperado de:</w:t>
      </w:r>
      <w:hyperlink r:id="rId45">
        <w:r>
          <w:rPr>
            <w:rFonts w:ascii="Times New Roman" w:eastAsia="Times New Roman" w:hAnsi="Times New Roman" w:cs="Times New Roman"/>
            <w:color w:val="1155CC"/>
            <w:sz w:val="20"/>
            <w:szCs w:val="20"/>
            <w:u w:val="single"/>
          </w:rPr>
          <w:t>https://startupslatam.com/cuales-so</w:t>
        </w:r>
        <w:r>
          <w:rPr>
            <w:rFonts w:ascii="Times New Roman" w:eastAsia="Times New Roman" w:hAnsi="Times New Roman" w:cs="Times New Roman"/>
            <w:color w:val="1155CC"/>
            <w:sz w:val="20"/>
            <w:szCs w:val="20"/>
            <w:u w:val="single"/>
          </w:rPr>
          <w:t>n-sus-innovaciones-conoce-a-las-10-startups-finalistas-de-startco-2024/</w:t>
        </w:r>
      </w:hyperlink>
      <w:r>
        <w:rPr>
          <w:rFonts w:ascii="Times New Roman" w:eastAsia="Times New Roman" w:hAnsi="Times New Roman" w:cs="Times New Roman"/>
          <w:sz w:val="20"/>
          <w:szCs w:val="20"/>
        </w:rPr>
        <w:t xml:space="preserve">  </w:t>
      </w:r>
    </w:p>
  </w:footnote>
  <w:footnote w:id="67">
    <w:p w14:paraId="1CE63A79"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68">
    <w:p w14:paraId="1CE63A7A"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69">
    <w:p w14:paraId="1CE63A7B"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Martínez, P. (2024). </w:t>
      </w:r>
      <w:r>
        <w:rPr>
          <w:rFonts w:ascii="Times New Roman" w:eastAsia="Times New Roman" w:hAnsi="Times New Roman" w:cs="Times New Roman"/>
          <w:i/>
          <w:sz w:val="20"/>
          <w:szCs w:val="20"/>
        </w:rPr>
        <w:t>Innovaciones en Startups de IA: Impulsando el Desarrollo Tecnológico</w:t>
      </w:r>
      <w:r>
        <w:rPr>
          <w:rFonts w:ascii="Times New Roman" w:eastAsia="Times New Roman" w:hAnsi="Times New Roman" w:cs="Times New Roman"/>
          <w:sz w:val="20"/>
          <w:szCs w:val="20"/>
        </w:rPr>
        <w:t xml:space="preserve">. Powerplan. Recuperado de: </w:t>
      </w:r>
      <w:hyperlink r:id="rId46">
        <w:r>
          <w:rPr>
            <w:rFonts w:ascii="Times New Roman" w:eastAsia="Times New Roman" w:hAnsi="Times New Roman" w:cs="Times New Roman"/>
            <w:color w:val="1155CC"/>
            <w:sz w:val="20"/>
            <w:szCs w:val="20"/>
            <w:u w:val="single"/>
          </w:rPr>
          <w:t>https://docs.google.com/document/d/1QoSvhQNNhHQJpEOR_o-sh9vPaKnbDXwI/edit</w:t>
        </w:r>
      </w:hyperlink>
      <w:r>
        <w:rPr>
          <w:rFonts w:ascii="Times New Roman" w:eastAsia="Times New Roman" w:hAnsi="Times New Roman" w:cs="Times New Roman"/>
          <w:sz w:val="20"/>
          <w:szCs w:val="20"/>
        </w:rPr>
        <w:t xml:space="preserve"> </w:t>
      </w:r>
    </w:p>
  </w:footnote>
  <w:footnote w:id="70">
    <w:p w14:paraId="1CE63A7C"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 </w:t>
      </w:r>
    </w:p>
  </w:footnote>
  <w:footnote w:id="71">
    <w:p w14:paraId="1CE63A7D"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Joint Venture Silicon Valley. (2024). </w:t>
      </w:r>
      <w:r>
        <w:rPr>
          <w:rFonts w:ascii="Times New Roman" w:eastAsia="Times New Roman" w:hAnsi="Times New Roman" w:cs="Times New Roman"/>
          <w:i/>
          <w:sz w:val="20"/>
          <w:szCs w:val="20"/>
        </w:rPr>
        <w:t>Silicon Valley venture capital investme</w:t>
      </w:r>
      <w:r>
        <w:rPr>
          <w:rFonts w:ascii="Times New Roman" w:eastAsia="Times New Roman" w:hAnsi="Times New Roman" w:cs="Times New Roman"/>
          <w:i/>
          <w:sz w:val="20"/>
          <w:szCs w:val="20"/>
        </w:rPr>
        <w:t>nt statistics 2024</w:t>
      </w:r>
      <w:r>
        <w:rPr>
          <w:rFonts w:ascii="Times New Roman" w:eastAsia="Times New Roman" w:hAnsi="Times New Roman" w:cs="Times New Roman"/>
          <w:sz w:val="20"/>
          <w:szCs w:val="20"/>
        </w:rPr>
        <w:t xml:space="preserve">. Recuperado de: </w:t>
      </w:r>
      <w:hyperlink r:id="rId47">
        <w:r>
          <w:rPr>
            <w:rFonts w:ascii="Times New Roman" w:eastAsia="Times New Roman" w:hAnsi="Times New Roman" w:cs="Times New Roman"/>
            <w:color w:val="1155CC"/>
            <w:sz w:val="20"/>
            <w:szCs w:val="20"/>
            <w:u w:val="single"/>
          </w:rPr>
          <w:t>https://jointventure.org/download-the-2024-index</w:t>
        </w:r>
      </w:hyperlink>
      <w:r>
        <w:rPr>
          <w:rFonts w:ascii="Times New Roman" w:eastAsia="Times New Roman" w:hAnsi="Times New Roman" w:cs="Times New Roman"/>
          <w:sz w:val="20"/>
          <w:szCs w:val="20"/>
        </w:rPr>
        <w:t xml:space="preserve"> </w:t>
      </w:r>
    </w:p>
  </w:footnote>
  <w:footnote w:id="72">
    <w:p w14:paraId="1CE63A7E" w14:textId="77777777" w:rsidR="004D0443" w:rsidRDefault="00DA3067">
      <w:pPr>
        <w:rPr>
          <w:sz w:val="20"/>
          <w:szCs w:val="20"/>
        </w:rPr>
      </w:pPr>
      <w:r>
        <w:rPr>
          <w:vertAlign w:val="superscript"/>
        </w:rPr>
        <w:footnoteRef/>
      </w:r>
      <w:r>
        <w:rPr>
          <w:sz w:val="20"/>
          <w:szCs w:val="20"/>
        </w:rPr>
        <w:t xml:space="preserve"> Ibídem. </w:t>
      </w:r>
    </w:p>
  </w:footnote>
  <w:footnote w:id="73">
    <w:p w14:paraId="1CE63A7F"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 </w:t>
      </w:r>
    </w:p>
  </w:footnote>
  <w:footnote w:id="74">
    <w:p w14:paraId="1CE63A80"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London Loves Tech. (2022). </w:t>
      </w:r>
      <w:r>
        <w:rPr>
          <w:rFonts w:ascii="Times New Roman" w:eastAsia="Times New Roman" w:hAnsi="Times New Roman" w:cs="Times New Roman"/>
          <w:i/>
          <w:sz w:val="20"/>
          <w:szCs w:val="20"/>
        </w:rPr>
        <w:t>London ranks as world leading startup hub</w:t>
      </w:r>
      <w:r>
        <w:rPr>
          <w:rFonts w:ascii="Times New Roman" w:eastAsia="Times New Roman" w:hAnsi="Times New Roman" w:cs="Times New Roman"/>
          <w:sz w:val="20"/>
          <w:szCs w:val="20"/>
        </w:rPr>
        <w:t>. Recuperad</w:t>
      </w:r>
      <w:r>
        <w:rPr>
          <w:rFonts w:ascii="Times New Roman" w:eastAsia="Times New Roman" w:hAnsi="Times New Roman" w:cs="Times New Roman"/>
          <w:sz w:val="20"/>
          <w:szCs w:val="20"/>
        </w:rPr>
        <w:t xml:space="preserve">o de: </w:t>
      </w:r>
      <w:hyperlink r:id="rId48" w:anchor="google_vignette">
        <w:r>
          <w:rPr>
            <w:rFonts w:ascii="Times New Roman" w:eastAsia="Times New Roman" w:hAnsi="Times New Roman" w:cs="Times New Roman"/>
            <w:color w:val="1155CC"/>
            <w:sz w:val="20"/>
            <w:szCs w:val="20"/>
            <w:u w:val="single"/>
          </w:rPr>
          <w:t>https://londonlovestech.com/london-ranks-as-world-leading-startup-hub/#google_vignette</w:t>
        </w:r>
      </w:hyperlink>
      <w:r>
        <w:rPr>
          <w:rFonts w:ascii="Times New Roman" w:eastAsia="Times New Roman" w:hAnsi="Times New Roman" w:cs="Times New Roman"/>
          <w:sz w:val="20"/>
          <w:szCs w:val="20"/>
        </w:rPr>
        <w:t xml:space="preserve"> </w:t>
      </w:r>
    </w:p>
  </w:footnote>
  <w:footnote w:id="75">
    <w:p w14:paraId="1CE63A81"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w:t>
      </w:r>
      <w:r>
        <w:rPr>
          <w:rFonts w:ascii="Times New Roman" w:eastAsia="Times New Roman" w:hAnsi="Times New Roman" w:cs="Times New Roman"/>
          <w:sz w:val="22"/>
          <w:szCs w:val="22"/>
        </w:rPr>
        <w:t>London &amp; Partners</w:t>
      </w:r>
      <w:r>
        <w:rPr>
          <w:rFonts w:ascii="Times New Roman" w:eastAsia="Times New Roman" w:hAnsi="Times New Roman" w:cs="Times New Roman"/>
          <w:sz w:val="20"/>
          <w:szCs w:val="20"/>
        </w:rPr>
        <w:t xml:space="preserve">. (2022). </w:t>
      </w:r>
      <w:r>
        <w:rPr>
          <w:rFonts w:ascii="Times New Roman" w:eastAsia="Times New Roman" w:hAnsi="Times New Roman" w:cs="Times New Roman"/>
          <w:i/>
          <w:sz w:val="20"/>
          <w:szCs w:val="20"/>
        </w:rPr>
        <w:t>London retains its cro</w:t>
      </w:r>
      <w:r>
        <w:rPr>
          <w:rFonts w:ascii="Times New Roman" w:eastAsia="Times New Roman" w:hAnsi="Times New Roman" w:cs="Times New Roman"/>
          <w:i/>
          <w:sz w:val="20"/>
          <w:szCs w:val="20"/>
        </w:rPr>
        <w:t xml:space="preserve">wn as a world leading startup hub. </w:t>
      </w:r>
      <w:hyperlink r:id="rId49">
        <w:r>
          <w:rPr>
            <w:rFonts w:ascii="Times New Roman" w:eastAsia="Times New Roman" w:hAnsi="Times New Roman" w:cs="Times New Roman"/>
            <w:i/>
            <w:color w:val="1155CC"/>
            <w:sz w:val="20"/>
            <w:szCs w:val="20"/>
            <w:u w:val="single"/>
          </w:rPr>
          <w:t>London retains its crown as a world leading startup hub (londonandpartners.com)</w:t>
        </w:r>
      </w:hyperlink>
    </w:p>
  </w:footnote>
  <w:footnote w:id="76">
    <w:p w14:paraId="1CE63A82" w14:textId="77777777" w:rsidR="004D0443" w:rsidRDefault="00DA3067">
      <w:pPr>
        <w:jc w:val="both"/>
        <w:rPr>
          <w:sz w:val="20"/>
          <w:szCs w:val="20"/>
        </w:rPr>
      </w:pPr>
      <w:r>
        <w:rPr>
          <w:vertAlign w:val="superscript"/>
        </w:rPr>
        <w:footnoteRef/>
      </w:r>
      <w:r>
        <w:rPr>
          <w:rFonts w:ascii="Times New Roman" w:eastAsia="Times New Roman" w:hAnsi="Times New Roman" w:cs="Times New Roman"/>
          <w:sz w:val="20"/>
          <w:szCs w:val="20"/>
        </w:rPr>
        <w:t xml:space="preserve"> Organización de las Nac</w:t>
      </w:r>
      <w:r>
        <w:rPr>
          <w:rFonts w:ascii="Times New Roman" w:eastAsia="Times New Roman" w:hAnsi="Times New Roman" w:cs="Times New Roman"/>
          <w:sz w:val="20"/>
          <w:szCs w:val="20"/>
        </w:rPr>
        <w:t>iones Unidas (ONU). (2015).</w:t>
      </w:r>
      <w:r>
        <w:rPr>
          <w:rFonts w:ascii="Times New Roman" w:eastAsia="Times New Roman" w:hAnsi="Times New Roman" w:cs="Times New Roman"/>
          <w:i/>
          <w:sz w:val="20"/>
          <w:szCs w:val="20"/>
        </w:rPr>
        <w:t xml:space="preserve"> Crecimiento económico ODS 8 - Desarrollo Sostenible. </w:t>
      </w:r>
      <w:r>
        <w:rPr>
          <w:rFonts w:ascii="Times New Roman" w:eastAsia="Times New Roman" w:hAnsi="Times New Roman" w:cs="Times New Roman"/>
          <w:sz w:val="20"/>
          <w:szCs w:val="20"/>
        </w:rPr>
        <w:t xml:space="preserve">Desarrollo Sostenible. Recuperado de: </w:t>
      </w:r>
      <w:hyperlink r:id="rId50">
        <w:r>
          <w:rPr>
            <w:rFonts w:ascii="Times New Roman" w:eastAsia="Times New Roman" w:hAnsi="Times New Roman" w:cs="Times New Roman"/>
            <w:color w:val="1155CC"/>
            <w:sz w:val="20"/>
            <w:szCs w:val="20"/>
            <w:u w:val="single"/>
          </w:rPr>
          <w:t>https://www.un.org/sustainabledevelopment/es/economic-growth/</w:t>
        </w:r>
      </w:hyperlink>
      <w:r>
        <w:rPr>
          <w:sz w:val="20"/>
          <w:szCs w:val="20"/>
        </w:rPr>
        <w:t xml:space="preserve"> </w:t>
      </w:r>
    </w:p>
  </w:footnote>
  <w:footnote w:id="77">
    <w:p w14:paraId="1CE63A83"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Organización de las Naciones Unidas (ONU). (2015). Infraestructura ODS 9 - Desarrollo Sostenible. Desarrollo Sostenible. Recuperado de: </w:t>
      </w:r>
      <w:hyperlink r:id="rId51">
        <w:r>
          <w:rPr>
            <w:rFonts w:ascii="Times New Roman" w:eastAsia="Times New Roman" w:hAnsi="Times New Roman" w:cs="Times New Roman"/>
            <w:color w:val="1155CC"/>
            <w:sz w:val="20"/>
            <w:szCs w:val="20"/>
            <w:u w:val="single"/>
          </w:rPr>
          <w:t>https://www.un.org/sustainabledevelopment/es/infrastructure/</w:t>
        </w:r>
      </w:hyperlink>
      <w:r>
        <w:rPr>
          <w:rFonts w:ascii="Times New Roman" w:eastAsia="Times New Roman" w:hAnsi="Times New Roman" w:cs="Times New Roman"/>
          <w:sz w:val="20"/>
          <w:szCs w:val="20"/>
        </w:rPr>
        <w:t xml:space="preserve"> </w:t>
      </w:r>
    </w:p>
  </w:footnote>
  <w:footnote w:id="78">
    <w:p w14:paraId="1CE63A84"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Organización de las Naciones Unidas (ONU). (2015). Ciudades ODS 11 - Desarrollo Sostenible. Desarrollo Sostenible.Recuperado de:  </w:t>
      </w:r>
      <w:hyperlink r:id="rId52">
        <w:r>
          <w:rPr>
            <w:rFonts w:ascii="Times New Roman" w:eastAsia="Times New Roman" w:hAnsi="Times New Roman" w:cs="Times New Roman"/>
            <w:color w:val="1155CC"/>
            <w:sz w:val="20"/>
            <w:szCs w:val="20"/>
            <w:u w:val="single"/>
          </w:rPr>
          <w:t>https://www.un.org/sustainabledevelopment/es/cities/</w:t>
        </w:r>
      </w:hyperlink>
      <w:r>
        <w:rPr>
          <w:rFonts w:ascii="Times New Roman" w:eastAsia="Times New Roman" w:hAnsi="Times New Roman" w:cs="Times New Roman"/>
          <w:sz w:val="20"/>
          <w:szCs w:val="20"/>
        </w:rPr>
        <w:t xml:space="preserve"> </w:t>
      </w:r>
    </w:p>
  </w:footnote>
  <w:footnote w:id="79">
    <w:p w14:paraId="1CE63A85"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Organización de las Naciones Unidas (ONU). (2015). Alianzas ODS 17 - Desarrollo Sostenible. Desarrollo Sostenible. Recuperado de: </w:t>
      </w:r>
      <w:hyperlink r:id="rId53">
        <w:r>
          <w:rPr>
            <w:rFonts w:ascii="Times New Roman" w:eastAsia="Times New Roman" w:hAnsi="Times New Roman" w:cs="Times New Roman"/>
            <w:color w:val="1155CC"/>
            <w:sz w:val="20"/>
            <w:szCs w:val="20"/>
            <w:u w:val="single"/>
          </w:rPr>
          <w:t>https://www.un.org/sustainabledevelopment/es/globalpartnerships/</w:t>
        </w:r>
      </w:hyperlink>
      <w:r>
        <w:rPr>
          <w:rFonts w:ascii="Times New Roman" w:eastAsia="Times New Roman" w:hAnsi="Times New Roman" w:cs="Times New Roman"/>
          <w:sz w:val="20"/>
          <w:szCs w:val="20"/>
        </w:rPr>
        <w:t xml:space="preserve"> </w:t>
      </w:r>
    </w:p>
  </w:footnote>
  <w:footnote w:id="80">
    <w:p w14:paraId="1CE63A86"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Concejo de Bogotá, D.C. (2024). </w:t>
      </w:r>
      <w:r>
        <w:rPr>
          <w:rFonts w:ascii="Times New Roman" w:eastAsia="Times New Roman" w:hAnsi="Times New Roman" w:cs="Times New Roman"/>
          <w:i/>
          <w:sz w:val="20"/>
          <w:szCs w:val="20"/>
        </w:rPr>
        <w:t>Acuerdo 927 de 2024</w:t>
      </w:r>
      <w:r>
        <w:rPr>
          <w:rFonts w:ascii="Times New Roman" w:eastAsia="Times New Roman" w:hAnsi="Times New Roman" w:cs="Times New Roman"/>
          <w:sz w:val="20"/>
          <w:szCs w:val="20"/>
        </w:rPr>
        <w:t xml:space="preserve">. Plan Distrital de Desarrollo. Recuperado de: </w:t>
      </w:r>
      <w:hyperlink r:id="rId54">
        <w:r>
          <w:rPr>
            <w:rFonts w:ascii="Times New Roman" w:eastAsia="Times New Roman" w:hAnsi="Times New Roman" w:cs="Times New Roman"/>
            <w:color w:val="1155CC"/>
            <w:sz w:val="20"/>
            <w:szCs w:val="20"/>
            <w:u w:val="single"/>
          </w:rPr>
          <w:t>Acuerdo 927 de 2024 Concejo de Bogotá, D.C. (alcaldiabogota.gov.co)</w:t>
        </w:r>
      </w:hyperlink>
    </w:p>
  </w:footnote>
  <w:footnote w:id="81">
    <w:p w14:paraId="1CE63A87"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Departamento Nacional de Planeación. (2024).  </w:t>
      </w:r>
      <w:r>
        <w:rPr>
          <w:rFonts w:ascii="Times New Roman" w:eastAsia="Times New Roman" w:hAnsi="Times New Roman" w:cs="Times New Roman"/>
          <w:i/>
          <w:sz w:val="20"/>
          <w:szCs w:val="20"/>
        </w:rPr>
        <w:t xml:space="preserve">Metas del Plan Nacional de Desarrollo 2022-2026. </w:t>
      </w:r>
      <w:r>
        <w:rPr>
          <w:rFonts w:ascii="Times New Roman" w:eastAsia="Times New Roman" w:hAnsi="Times New Roman" w:cs="Times New Roman"/>
          <w:sz w:val="20"/>
          <w:szCs w:val="20"/>
        </w:rPr>
        <w:t>Plataf</w:t>
      </w:r>
      <w:r>
        <w:rPr>
          <w:rFonts w:ascii="Times New Roman" w:eastAsia="Times New Roman" w:hAnsi="Times New Roman" w:cs="Times New Roman"/>
          <w:sz w:val="20"/>
          <w:szCs w:val="20"/>
        </w:rPr>
        <w:t xml:space="preserve">orma Colombiana de Derechos Humanos, Democracia y Desarrollo. Tomado de: </w:t>
      </w:r>
      <w:hyperlink r:id="rId55">
        <w:r>
          <w:rPr>
            <w:rFonts w:ascii="Times New Roman" w:eastAsia="Times New Roman" w:hAnsi="Times New Roman" w:cs="Times New Roman"/>
            <w:color w:val="1155CC"/>
            <w:sz w:val="20"/>
            <w:szCs w:val="20"/>
            <w:u w:val="single"/>
          </w:rPr>
          <w:t>https://ddhhcolombia.org.co/2023/05/24/metas-plan-nacional-de-desarrollo-2022-20</w:t>
        </w:r>
        <w:r>
          <w:rPr>
            <w:rFonts w:ascii="Times New Roman" w:eastAsia="Times New Roman" w:hAnsi="Times New Roman" w:cs="Times New Roman"/>
            <w:color w:val="1155CC"/>
            <w:sz w:val="20"/>
            <w:szCs w:val="20"/>
            <w:u w:val="single"/>
          </w:rPr>
          <w:t>26/</w:t>
        </w:r>
      </w:hyperlink>
      <w:r>
        <w:rPr>
          <w:rFonts w:ascii="Times New Roman" w:eastAsia="Times New Roman" w:hAnsi="Times New Roman" w:cs="Times New Roman"/>
          <w:sz w:val="20"/>
          <w:szCs w:val="20"/>
        </w:rPr>
        <w:t xml:space="preserve"> </w:t>
      </w:r>
    </w:p>
  </w:footnote>
  <w:footnote w:id="82">
    <w:p w14:paraId="1CE63A88"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Agronet (2021). </w:t>
      </w:r>
      <w:r>
        <w:rPr>
          <w:rFonts w:ascii="Times New Roman" w:eastAsia="Times New Roman" w:hAnsi="Times New Roman" w:cs="Times New Roman"/>
          <w:i/>
          <w:sz w:val="20"/>
          <w:szCs w:val="20"/>
        </w:rPr>
        <w:t xml:space="preserve">Top20 startups del sector Agrotech a tener en cuenta en 2021. </w:t>
      </w:r>
      <w:r>
        <w:rPr>
          <w:rFonts w:ascii="Times New Roman" w:eastAsia="Times New Roman" w:hAnsi="Times New Roman" w:cs="Times New Roman"/>
          <w:sz w:val="20"/>
          <w:szCs w:val="20"/>
        </w:rPr>
        <w:t>UPRA Minagricultura</w:t>
      </w:r>
      <w:r>
        <w:rPr>
          <w:rFonts w:ascii="Times New Roman" w:eastAsia="Times New Roman" w:hAnsi="Times New Roman" w:cs="Times New Roman"/>
          <w:i/>
          <w:sz w:val="20"/>
          <w:szCs w:val="20"/>
        </w:rPr>
        <w:t xml:space="preserve">. </w:t>
      </w:r>
      <w:r>
        <w:rPr>
          <w:rFonts w:ascii="Times New Roman" w:eastAsia="Times New Roman" w:hAnsi="Times New Roman" w:cs="Times New Roman"/>
          <w:sz w:val="20"/>
          <w:szCs w:val="20"/>
        </w:rPr>
        <w:t xml:space="preserve">Tomado de: </w:t>
      </w:r>
      <w:hyperlink r:id="rId56">
        <w:r>
          <w:rPr>
            <w:rFonts w:ascii="Times New Roman" w:eastAsia="Times New Roman" w:hAnsi="Times New Roman" w:cs="Times New Roman"/>
            <w:color w:val="1155CC"/>
            <w:sz w:val="20"/>
            <w:szCs w:val="20"/>
            <w:u w:val="single"/>
          </w:rPr>
          <w:t>https://ww</w:t>
        </w:r>
        <w:r>
          <w:rPr>
            <w:rFonts w:ascii="Times New Roman" w:eastAsia="Times New Roman" w:hAnsi="Times New Roman" w:cs="Times New Roman"/>
            <w:color w:val="1155CC"/>
            <w:sz w:val="20"/>
            <w:szCs w:val="20"/>
            <w:u w:val="single"/>
          </w:rPr>
          <w:t>w.agronet.gov.co/Noticias/Paginas/Top20-startups-del-sector-Agrotech-a-tener-en-cuenta-en-2021.aspx</w:t>
        </w:r>
      </w:hyperlink>
      <w:r>
        <w:rPr>
          <w:rFonts w:ascii="Times New Roman" w:eastAsia="Times New Roman" w:hAnsi="Times New Roman" w:cs="Times New Roman"/>
          <w:sz w:val="20"/>
          <w:szCs w:val="20"/>
        </w:rPr>
        <w:t xml:space="preserve"> </w:t>
      </w:r>
    </w:p>
  </w:footnote>
  <w:footnote w:id="83">
    <w:p w14:paraId="1CE63A89"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El Espectador (2022). Suyo: formalizando hogares para construir una Colombia mejor. </w:t>
      </w:r>
      <w:r>
        <w:rPr>
          <w:rFonts w:ascii="Times New Roman" w:eastAsia="Times New Roman" w:hAnsi="Times New Roman" w:cs="Times New Roman"/>
          <w:i/>
          <w:sz w:val="20"/>
          <w:szCs w:val="20"/>
        </w:rPr>
        <w:t xml:space="preserve">Redacciones Especiales. </w:t>
      </w:r>
      <w:r>
        <w:rPr>
          <w:rFonts w:ascii="Times New Roman" w:eastAsia="Times New Roman" w:hAnsi="Times New Roman" w:cs="Times New Roman"/>
          <w:sz w:val="20"/>
          <w:szCs w:val="20"/>
        </w:rPr>
        <w:t xml:space="preserve">Tomado de: </w:t>
      </w:r>
      <w:hyperlink r:id="rId57">
        <w:r>
          <w:rPr>
            <w:rFonts w:ascii="Times New Roman" w:eastAsia="Times New Roman" w:hAnsi="Times New Roman" w:cs="Times New Roman"/>
            <w:color w:val="1155CC"/>
            <w:sz w:val="20"/>
            <w:szCs w:val="20"/>
            <w:u w:val="single"/>
          </w:rPr>
          <w:t>https://www.elespectador.com/contenido-patrocinado/suyo-formalizando-hogares-para-construir-una-colombia-mejor/</w:t>
        </w:r>
      </w:hyperlink>
      <w:r>
        <w:rPr>
          <w:rFonts w:ascii="Times New Roman" w:eastAsia="Times New Roman" w:hAnsi="Times New Roman" w:cs="Times New Roman"/>
          <w:sz w:val="20"/>
          <w:szCs w:val="20"/>
        </w:rPr>
        <w:t xml:space="preserve"> </w:t>
      </w:r>
    </w:p>
  </w:footnote>
  <w:footnote w:id="84">
    <w:p w14:paraId="1CE63A8A"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Forbes Staff (2021). Las 10 startups de impacto escogidas para Rockstart Impact. Tomado de: </w:t>
      </w:r>
      <w:hyperlink r:id="rId58">
        <w:r>
          <w:rPr>
            <w:rFonts w:ascii="Times New Roman" w:eastAsia="Times New Roman" w:hAnsi="Times New Roman" w:cs="Times New Roman"/>
            <w:color w:val="1155CC"/>
            <w:sz w:val="20"/>
            <w:szCs w:val="20"/>
            <w:u w:val="single"/>
          </w:rPr>
          <w:t>https://forbes.co/2021/01/18/actualidad/las-1</w:t>
        </w:r>
        <w:r>
          <w:rPr>
            <w:rFonts w:ascii="Times New Roman" w:eastAsia="Times New Roman" w:hAnsi="Times New Roman" w:cs="Times New Roman"/>
            <w:color w:val="1155CC"/>
            <w:sz w:val="20"/>
            <w:szCs w:val="20"/>
            <w:u w:val="single"/>
          </w:rPr>
          <w:t>0-startups-de-impacto-escogidas-para-rockstart-impact</w:t>
        </w:r>
      </w:hyperlink>
      <w:r>
        <w:rPr>
          <w:rFonts w:ascii="Times New Roman" w:eastAsia="Times New Roman" w:hAnsi="Times New Roman" w:cs="Times New Roman"/>
          <w:sz w:val="20"/>
          <w:szCs w:val="20"/>
        </w:rPr>
        <w:t xml:space="preserve"> </w:t>
      </w:r>
    </w:p>
  </w:footnote>
  <w:footnote w:id="85">
    <w:p w14:paraId="1CE63A8B"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Village Capital (2021).</w:t>
      </w:r>
      <w:r>
        <w:rPr>
          <w:rFonts w:ascii="Times New Roman" w:eastAsia="Times New Roman" w:hAnsi="Times New Roman" w:cs="Times New Roman"/>
          <w:i/>
          <w:sz w:val="20"/>
          <w:szCs w:val="20"/>
        </w:rPr>
        <w:t xml:space="preserve"> 10 startups creando soluciones sustentables en la Región Andina.</w:t>
      </w:r>
      <w:r>
        <w:rPr>
          <w:rFonts w:ascii="Times New Roman" w:eastAsia="Times New Roman" w:hAnsi="Times New Roman" w:cs="Times New Roman"/>
          <w:sz w:val="20"/>
          <w:szCs w:val="20"/>
        </w:rPr>
        <w:t xml:space="preserve"> Tomado de:  </w:t>
      </w:r>
      <w:hyperlink r:id="rId59">
        <w:r>
          <w:rPr>
            <w:rFonts w:ascii="Times New Roman" w:eastAsia="Times New Roman" w:hAnsi="Times New Roman" w:cs="Times New Roman"/>
            <w:color w:val="1155CC"/>
            <w:sz w:val="20"/>
            <w:szCs w:val="20"/>
            <w:u w:val="single"/>
          </w:rPr>
          <w:t>https:</w:t>
        </w:r>
        <w:r>
          <w:rPr>
            <w:rFonts w:ascii="Times New Roman" w:eastAsia="Times New Roman" w:hAnsi="Times New Roman" w:cs="Times New Roman"/>
            <w:color w:val="1155CC"/>
            <w:sz w:val="20"/>
            <w:szCs w:val="20"/>
            <w:u w:val="single"/>
          </w:rPr>
          <w:t>//newsandviews.vilcap.com/posts/startups/sheltertech/region/andina</w:t>
        </w:r>
      </w:hyperlink>
      <w:r>
        <w:rPr>
          <w:rFonts w:ascii="Times New Roman" w:eastAsia="Times New Roman" w:hAnsi="Times New Roman" w:cs="Times New Roman"/>
          <w:sz w:val="20"/>
          <w:szCs w:val="20"/>
        </w:rPr>
        <w:t xml:space="preserve"> </w:t>
      </w:r>
    </w:p>
  </w:footnote>
  <w:footnote w:id="86">
    <w:p w14:paraId="1CE63A8C"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Asamblea General de las Naciones Unidas. (1966). </w:t>
      </w:r>
      <w:r>
        <w:rPr>
          <w:rFonts w:ascii="Times New Roman" w:eastAsia="Times New Roman" w:hAnsi="Times New Roman" w:cs="Times New Roman"/>
          <w:i/>
          <w:sz w:val="18"/>
          <w:szCs w:val="18"/>
        </w:rPr>
        <w:t>Pacto Internacional de Derechos Económicos, Sociales y Culturales</w:t>
      </w:r>
      <w:r>
        <w:rPr>
          <w:rFonts w:ascii="Times New Roman" w:eastAsia="Times New Roman" w:hAnsi="Times New Roman" w:cs="Times New Roman"/>
          <w:sz w:val="18"/>
          <w:szCs w:val="18"/>
        </w:rPr>
        <w:t xml:space="preserve">. Recuperado de: </w:t>
      </w:r>
      <w:hyperlink r:id="rId60">
        <w:r>
          <w:rPr>
            <w:rFonts w:ascii="Times New Roman" w:eastAsia="Times New Roman" w:hAnsi="Times New Roman" w:cs="Times New Roman"/>
            <w:color w:val="1155CC"/>
            <w:sz w:val="18"/>
            <w:szCs w:val="18"/>
            <w:u w:val="single"/>
          </w:rPr>
          <w:t>https://www.ohchr.org/es/instruments-mechanisms/instruments/international-covenant-economic-social-and-cultural-rights</w:t>
        </w:r>
      </w:hyperlink>
      <w:r>
        <w:rPr>
          <w:rFonts w:ascii="Times New Roman" w:eastAsia="Times New Roman" w:hAnsi="Times New Roman" w:cs="Times New Roman"/>
          <w:sz w:val="18"/>
          <w:szCs w:val="18"/>
        </w:rPr>
        <w:t xml:space="preserve"> </w:t>
      </w:r>
    </w:p>
  </w:footnote>
  <w:footnote w:id="87">
    <w:p w14:paraId="1CE63A8D"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88">
    <w:p w14:paraId="1CE63A8E" w14:textId="77777777" w:rsidR="004D0443" w:rsidRDefault="00DA3067">
      <w:pPr>
        <w:jc w:val="both"/>
        <w:rPr>
          <w:rFonts w:ascii="Times New Roman" w:eastAsia="Times New Roman" w:hAnsi="Times New Roman" w:cs="Times New Roman"/>
          <w:sz w:val="18"/>
          <w:szCs w:val="18"/>
        </w:rPr>
      </w:pPr>
      <w:r>
        <w:rPr>
          <w:vertAlign w:val="superscript"/>
        </w:rPr>
        <w:footnoteRef/>
      </w:r>
      <w:r>
        <w:rPr>
          <w:sz w:val="20"/>
          <w:szCs w:val="20"/>
        </w:rPr>
        <w:t xml:space="preserve"> </w:t>
      </w:r>
      <w:r>
        <w:rPr>
          <w:rFonts w:ascii="Times New Roman" w:eastAsia="Times New Roman" w:hAnsi="Times New Roman" w:cs="Times New Roman"/>
          <w:sz w:val="18"/>
          <w:szCs w:val="18"/>
        </w:rPr>
        <w:t>Asamblea de la Organización de Estados Am</w:t>
      </w:r>
      <w:r>
        <w:rPr>
          <w:rFonts w:ascii="Times New Roman" w:eastAsia="Times New Roman" w:hAnsi="Times New Roman" w:cs="Times New Roman"/>
          <w:sz w:val="18"/>
          <w:szCs w:val="18"/>
        </w:rPr>
        <w:t xml:space="preserve">ericanos (OEA). (1969). Convención Americana sobre Derechos Humanos. Pacto de San José. Recuperada de: </w:t>
      </w:r>
      <w:hyperlink r:id="rId61">
        <w:r>
          <w:rPr>
            <w:rFonts w:ascii="Times New Roman" w:eastAsia="Times New Roman" w:hAnsi="Times New Roman" w:cs="Times New Roman"/>
            <w:color w:val="1155CC"/>
            <w:sz w:val="18"/>
            <w:szCs w:val="18"/>
            <w:u w:val="single"/>
          </w:rPr>
          <w:t>https://www.oas.org/dil/esp/1969_Convenci%C3%B3n</w:t>
        </w:r>
        <w:r>
          <w:rPr>
            <w:rFonts w:ascii="Times New Roman" w:eastAsia="Times New Roman" w:hAnsi="Times New Roman" w:cs="Times New Roman"/>
            <w:color w:val="1155CC"/>
            <w:sz w:val="18"/>
            <w:szCs w:val="18"/>
            <w:u w:val="single"/>
          </w:rPr>
          <w:t>_Americana_sobre_Derechos_Humanos.pdf</w:t>
        </w:r>
      </w:hyperlink>
      <w:r>
        <w:rPr>
          <w:rFonts w:ascii="Times New Roman" w:eastAsia="Times New Roman" w:hAnsi="Times New Roman" w:cs="Times New Roman"/>
          <w:sz w:val="18"/>
          <w:szCs w:val="18"/>
        </w:rPr>
        <w:t xml:space="preserve"> </w:t>
      </w:r>
    </w:p>
  </w:footnote>
  <w:footnote w:id="89">
    <w:p w14:paraId="1CE63A8F"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Asamblea Nacional Constituyente. (1991). </w:t>
      </w:r>
      <w:r>
        <w:rPr>
          <w:rFonts w:ascii="Times New Roman" w:eastAsia="Times New Roman" w:hAnsi="Times New Roman" w:cs="Times New Roman"/>
          <w:i/>
          <w:sz w:val="18"/>
          <w:szCs w:val="18"/>
        </w:rPr>
        <w:t>Constitución Política de Colombia. Artículo 333</w:t>
      </w:r>
      <w:r>
        <w:rPr>
          <w:rFonts w:ascii="Times New Roman" w:eastAsia="Times New Roman" w:hAnsi="Times New Roman" w:cs="Times New Roman"/>
          <w:sz w:val="18"/>
          <w:szCs w:val="18"/>
        </w:rPr>
        <w:t>. Bogotá, Colombia: Editorial Legis.</w:t>
      </w:r>
    </w:p>
  </w:footnote>
  <w:footnote w:id="90">
    <w:p w14:paraId="1CE63A90"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Ibídem.</w:t>
      </w:r>
    </w:p>
  </w:footnote>
  <w:footnote w:id="91">
    <w:p w14:paraId="1CE63A91"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92">
    <w:p w14:paraId="1CE63A92"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Congreso de la República de Colombia. (10 de julio de 2000). Ley 590 de 2000. Por la cual se dictan disposiciones para promover el desarrollo de las micro, pequeñas y medianas empresa. D.O. 44078. </w:t>
      </w:r>
    </w:p>
  </w:footnote>
  <w:footnote w:id="93">
    <w:p w14:paraId="1CE63A93"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Congreso de la República de Colombia. (26 de enero de 2</w:t>
      </w:r>
      <w:r>
        <w:rPr>
          <w:rFonts w:ascii="Times New Roman" w:eastAsia="Times New Roman" w:hAnsi="Times New Roman" w:cs="Times New Roman"/>
          <w:sz w:val="18"/>
          <w:szCs w:val="18"/>
        </w:rPr>
        <w:t xml:space="preserve">006). Ley 1014 de 2006. De fomento a la cultura del emprendimiento. Recuperado de: </w:t>
      </w:r>
      <w:hyperlink r:id="rId62">
        <w:r>
          <w:rPr>
            <w:rFonts w:ascii="Times New Roman" w:eastAsia="Times New Roman" w:hAnsi="Times New Roman" w:cs="Times New Roman"/>
            <w:color w:val="1155CC"/>
            <w:sz w:val="18"/>
            <w:szCs w:val="18"/>
            <w:u w:val="single"/>
          </w:rPr>
          <w:t>https://www.suin-juriscol.gov.co/viewDocument.asp?ruta=Leyes/1672727</w:t>
        </w:r>
      </w:hyperlink>
      <w:r>
        <w:rPr>
          <w:rFonts w:ascii="Times New Roman" w:eastAsia="Times New Roman" w:hAnsi="Times New Roman" w:cs="Times New Roman"/>
          <w:sz w:val="18"/>
          <w:szCs w:val="18"/>
        </w:rPr>
        <w:t xml:space="preserve"> </w:t>
      </w:r>
    </w:p>
  </w:footnote>
  <w:footnote w:id="94">
    <w:p w14:paraId="1CE63A94"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Congreso de l</w:t>
      </w:r>
      <w:r>
        <w:rPr>
          <w:rFonts w:ascii="Times New Roman" w:eastAsia="Times New Roman" w:hAnsi="Times New Roman" w:cs="Times New Roman"/>
          <w:sz w:val="18"/>
          <w:szCs w:val="18"/>
        </w:rPr>
        <w:t xml:space="preserve">a República de Colombia. (31 de diciembre de 2020). Ley 2069 de 2020. Por medio de la cual se impulsa el emprendimiento en Colombia. Recuperado de: </w:t>
      </w:r>
      <w:hyperlink r:id="rId63">
        <w:r>
          <w:rPr>
            <w:rFonts w:ascii="Times New Roman" w:eastAsia="Times New Roman" w:hAnsi="Times New Roman" w:cs="Times New Roman"/>
            <w:color w:val="1155CC"/>
            <w:sz w:val="18"/>
            <w:szCs w:val="18"/>
            <w:u w:val="single"/>
          </w:rPr>
          <w:t>https://www.func</w:t>
        </w:r>
        <w:r>
          <w:rPr>
            <w:rFonts w:ascii="Times New Roman" w:eastAsia="Times New Roman" w:hAnsi="Times New Roman" w:cs="Times New Roman"/>
            <w:color w:val="1155CC"/>
            <w:sz w:val="18"/>
            <w:szCs w:val="18"/>
            <w:u w:val="single"/>
          </w:rPr>
          <w:t>ionpublica.gov.co/eva/gestornormativo/norma.php?i=160966</w:t>
        </w:r>
      </w:hyperlink>
      <w:r>
        <w:rPr>
          <w:rFonts w:ascii="Times New Roman" w:eastAsia="Times New Roman" w:hAnsi="Times New Roman" w:cs="Times New Roman"/>
          <w:sz w:val="18"/>
          <w:szCs w:val="18"/>
        </w:rPr>
        <w:t xml:space="preserve"> </w:t>
      </w:r>
    </w:p>
  </w:footnote>
  <w:footnote w:id="95">
    <w:p w14:paraId="1CE63A95"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Presidencia de la República. (2020). </w:t>
      </w:r>
      <w:r>
        <w:rPr>
          <w:rFonts w:ascii="Times New Roman" w:eastAsia="Times New Roman" w:hAnsi="Times New Roman" w:cs="Times New Roman"/>
          <w:i/>
          <w:sz w:val="20"/>
          <w:szCs w:val="20"/>
        </w:rPr>
        <w:t>Decreto 1234 de 2020 (Sandbox Regulatorio)</w:t>
      </w:r>
      <w:r>
        <w:rPr>
          <w:rFonts w:ascii="Times New Roman" w:eastAsia="Times New Roman" w:hAnsi="Times New Roman" w:cs="Times New Roman"/>
          <w:sz w:val="20"/>
          <w:szCs w:val="20"/>
        </w:rPr>
        <w:t xml:space="preserve">. Recuperado de: </w:t>
      </w:r>
      <w:hyperlink r:id="rId64">
        <w:r>
          <w:rPr>
            <w:rFonts w:ascii="Times New Roman" w:eastAsia="Times New Roman" w:hAnsi="Times New Roman" w:cs="Times New Roman"/>
            <w:color w:val="1155CC"/>
            <w:sz w:val="20"/>
            <w:szCs w:val="20"/>
            <w:u w:val="single"/>
          </w:rPr>
          <w:t>https://</w:t>
        </w:r>
        <w:r>
          <w:rPr>
            <w:rFonts w:ascii="Times New Roman" w:eastAsia="Times New Roman" w:hAnsi="Times New Roman" w:cs="Times New Roman"/>
            <w:color w:val="1155CC"/>
            <w:sz w:val="20"/>
            <w:szCs w:val="20"/>
            <w:u w:val="single"/>
          </w:rPr>
          <w:t>www.suin-juriscol.gov.co/viewDocument.asp?ruta=Decretos/30039844</w:t>
        </w:r>
      </w:hyperlink>
      <w:r>
        <w:rPr>
          <w:rFonts w:ascii="Times New Roman" w:eastAsia="Times New Roman" w:hAnsi="Times New Roman" w:cs="Times New Roman"/>
          <w:sz w:val="20"/>
          <w:szCs w:val="20"/>
        </w:rPr>
        <w:t xml:space="preserve"> </w:t>
      </w:r>
    </w:p>
  </w:footnote>
  <w:footnote w:id="96">
    <w:p w14:paraId="1CE63A96"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Ibídem.</w:t>
      </w:r>
    </w:p>
  </w:footnote>
  <w:footnote w:id="97">
    <w:p w14:paraId="1CE63A97"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Concejo de Bogotá D.C. (30 de agosto de 2021). </w:t>
      </w:r>
      <w:r>
        <w:rPr>
          <w:rFonts w:ascii="Times New Roman" w:eastAsia="Times New Roman" w:hAnsi="Times New Roman" w:cs="Times New Roman"/>
          <w:i/>
          <w:sz w:val="18"/>
          <w:szCs w:val="18"/>
        </w:rPr>
        <w:t>Acuerdo Distrital 819 de 2021. Por el cual se integran acciones para fomentar el emprendimiento de mujeres “EME” - empresas con manos de mujer dentro de las estrategias de la secretaría de desarrollo económico y se dictan otras disposiciones.</w:t>
      </w:r>
      <w:r>
        <w:rPr>
          <w:rFonts w:ascii="Times New Roman" w:eastAsia="Times New Roman" w:hAnsi="Times New Roman" w:cs="Times New Roman"/>
          <w:sz w:val="18"/>
          <w:szCs w:val="18"/>
        </w:rPr>
        <w:t xml:space="preserve"> Recuperado de</w:t>
      </w:r>
      <w:r>
        <w:rPr>
          <w:rFonts w:ascii="Times New Roman" w:eastAsia="Times New Roman" w:hAnsi="Times New Roman" w:cs="Times New Roman"/>
          <w:sz w:val="18"/>
          <w:szCs w:val="18"/>
        </w:rPr>
        <w:t xml:space="preserve">: </w:t>
      </w:r>
      <w:hyperlink r:id="rId65">
        <w:r>
          <w:rPr>
            <w:rFonts w:ascii="Times New Roman" w:eastAsia="Times New Roman" w:hAnsi="Times New Roman" w:cs="Times New Roman"/>
            <w:color w:val="1155CC"/>
            <w:sz w:val="18"/>
            <w:szCs w:val="18"/>
            <w:u w:val="single"/>
          </w:rPr>
          <w:t>https://www.alcaldiabogota.gov.co/sisjur/normas/Norma1.jsp?dt=S&amp;i=116186</w:t>
        </w:r>
      </w:hyperlink>
      <w:r>
        <w:rPr>
          <w:rFonts w:ascii="Times New Roman" w:eastAsia="Times New Roman" w:hAnsi="Times New Roman" w:cs="Times New Roman"/>
          <w:sz w:val="18"/>
          <w:szCs w:val="18"/>
        </w:rPr>
        <w:t xml:space="preserve"> </w:t>
      </w:r>
    </w:p>
  </w:footnote>
  <w:footnote w:id="98">
    <w:p w14:paraId="1CE63A98"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Concejo de Bogotá D.C. (22 de noviembre de 2022). </w:t>
      </w:r>
      <w:r>
        <w:rPr>
          <w:rFonts w:ascii="Times New Roman" w:eastAsia="Times New Roman" w:hAnsi="Times New Roman" w:cs="Times New Roman"/>
          <w:i/>
          <w:sz w:val="18"/>
          <w:szCs w:val="18"/>
        </w:rPr>
        <w:t>Acuerdo Distrital 862 de 2022. Por e</w:t>
      </w:r>
      <w:r>
        <w:rPr>
          <w:rFonts w:ascii="Times New Roman" w:eastAsia="Times New Roman" w:hAnsi="Times New Roman" w:cs="Times New Roman"/>
          <w:i/>
          <w:sz w:val="18"/>
          <w:szCs w:val="18"/>
        </w:rPr>
        <w:t>l cual se establecen lineamientos para la creación de la Comisión Intersectorial de Apoyo al Emprendedor y Emprendedora Joven Rural Campesina de Bogotá D.C y se dictan otras disposiciones.</w:t>
      </w:r>
      <w:r>
        <w:rPr>
          <w:rFonts w:ascii="Times New Roman" w:eastAsia="Times New Roman" w:hAnsi="Times New Roman" w:cs="Times New Roman"/>
          <w:sz w:val="18"/>
          <w:szCs w:val="18"/>
        </w:rPr>
        <w:t xml:space="preserve"> Recuperado de: </w:t>
      </w:r>
      <w:hyperlink r:id="rId66">
        <w:r>
          <w:rPr>
            <w:rFonts w:ascii="Times New Roman" w:eastAsia="Times New Roman" w:hAnsi="Times New Roman" w:cs="Times New Roman"/>
            <w:color w:val="1155CC"/>
            <w:sz w:val="18"/>
            <w:szCs w:val="18"/>
            <w:u w:val="single"/>
          </w:rPr>
          <w:t>https://www.alcaldiabogota.gov.co/sisjur/normas/Norma1.jsp?i=129983</w:t>
        </w:r>
      </w:hyperlink>
      <w:r>
        <w:rPr>
          <w:rFonts w:ascii="Times New Roman" w:eastAsia="Times New Roman" w:hAnsi="Times New Roman" w:cs="Times New Roman"/>
          <w:sz w:val="18"/>
          <w:szCs w:val="18"/>
        </w:rPr>
        <w:t xml:space="preserve"> </w:t>
      </w:r>
    </w:p>
  </w:footnote>
  <w:footnote w:id="99">
    <w:p w14:paraId="1CE63A99" w14:textId="77777777" w:rsidR="004D0443" w:rsidRDefault="00DA3067">
      <w:pPr>
        <w:jc w:val="both"/>
        <w:rPr>
          <w:rFonts w:ascii="Times New Roman" w:eastAsia="Times New Roman" w:hAnsi="Times New Roman" w:cs="Times New Roman"/>
          <w:sz w:val="18"/>
          <w:szCs w:val="18"/>
        </w:rPr>
      </w:pPr>
      <w:r>
        <w:rPr>
          <w:vertAlign w:val="superscript"/>
        </w:rPr>
        <w:footnoteRef/>
      </w:r>
      <w:r>
        <w:rPr>
          <w:rFonts w:ascii="Times New Roman" w:eastAsia="Times New Roman" w:hAnsi="Times New Roman" w:cs="Times New Roman"/>
          <w:sz w:val="18"/>
          <w:szCs w:val="18"/>
        </w:rPr>
        <w:t xml:space="preserve"> Concejo de Bogotá D.C. (20 de septiembre de 2022).</w:t>
      </w:r>
      <w:r>
        <w:rPr>
          <w:rFonts w:ascii="Times New Roman" w:eastAsia="Times New Roman" w:hAnsi="Times New Roman" w:cs="Times New Roman"/>
          <w:i/>
          <w:sz w:val="18"/>
          <w:szCs w:val="18"/>
        </w:rPr>
        <w:t xml:space="preserve"> Acuerdo Distrital 848 de 2022. Por medio del cual se incentiva el emprendimiento en la educación bá</w:t>
      </w:r>
      <w:r>
        <w:rPr>
          <w:rFonts w:ascii="Times New Roman" w:eastAsia="Times New Roman" w:hAnsi="Times New Roman" w:cs="Times New Roman"/>
          <w:i/>
          <w:sz w:val="18"/>
          <w:szCs w:val="18"/>
        </w:rPr>
        <w:t>sica secundaria y media en las instituciones educativas públicas de la ciudad y se dictan otras disposiciones.</w:t>
      </w:r>
      <w:r>
        <w:rPr>
          <w:rFonts w:ascii="Times New Roman" w:eastAsia="Times New Roman" w:hAnsi="Times New Roman" w:cs="Times New Roman"/>
          <w:sz w:val="18"/>
          <w:szCs w:val="18"/>
        </w:rPr>
        <w:t xml:space="preserve"> Recuperado de: </w:t>
      </w:r>
      <w:hyperlink r:id="rId67">
        <w:r>
          <w:rPr>
            <w:rFonts w:ascii="Times New Roman" w:eastAsia="Times New Roman" w:hAnsi="Times New Roman" w:cs="Times New Roman"/>
            <w:color w:val="1155CC"/>
            <w:sz w:val="18"/>
            <w:szCs w:val="18"/>
            <w:u w:val="single"/>
          </w:rPr>
          <w:t>https://www.alcaldiabogota.gov.co/sisjur/no</w:t>
        </w:r>
        <w:r>
          <w:rPr>
            <w:rFonts w:ascii="Times New Roman" w:eastAsia="Times New Roman" w:hAnsi="Times New Roman" w:cs="Times New Roman"/>
            <w:color w:val="1155CC"/>
            <w:sz w:val="18"/>
            <w:szCs w:val="18"/>
            <w:u w:val="single"/>
          </w:rPr>
          <w:t>rmas/Norma1.jsp?i=128339</w:t>
        </w:r>
      </w:hyperlink>
      <w:r>
        <w:rPr>
          <w:rFonts w:ascii="Times New Roman" w:eastAsia="Times New Roman" w:hAnsi="Times New Roman" w:cs="Times New Roman"/>
          <w:sz w:val="18"/>
          <w:szCs w:val="18"/>
        </w:rPr>
        <w:t xml:space="preserve"> </w:t>
      </w:r>
    </w:p>
  </w:footnote>
  <w:footnote w:id="100">
    <w:p w14:paraId="1CE63A9A" w14:textId="77777777" w:rsidR="004D0443" w:rsidRDefault="00DA3067">
      <w:pPr>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CONPES D.C. No. 29. (2023). </w:t>
      </w:r>
      <w:r>
        <w:rPr>
          <w:rFonts w:ascii="Times New Roman" w:eastAsia="Times New Roman" w:hAnsi="Times New Roman" w:cs="Times New Roman"/>
          <w:i/>
          <w:sz w:val="20"/>
          <w:szCs w:val="20"/>
        </w:rPr>
        <w:t>Política Pública Bogotá Territorio Inteligente 2023-2032</w:t>
      </w:r>
      <w:r>
        <w:rPr>
          <w:rFonts w:ascii="Times New Roman" w:eastAsia="Times New Roman" w:hAnsi="Times New Roman" w:cs="Times New Roman"/>
          <w:sz w:val="20"/>
          <w:szCs w:val="20"/>
        </w:rPr>
        <w:t xml:space="preserve">. Alcaldía Mayor de Bogotá D.C. Recuperado de: </w:t>
      </w:r>
      <w:hyperlink r:id="rId68" w:anchor=":~:text=el%20presente%20documento%20es%20el%20resultado">
        <w:r>
          <w:rPr>
            <w:rFonts w:ascii="Times New Roman" w:eastAsia="Times New Roman" w:hAnsi="Times New Roman" w:cs="Times New Roman"/>
            <w:color w:val="1155CC"/>
            <w:sz w:val="20"/>
            <w:szCs w:val="20"/>
            <w:u w:val="single"/>
          </w:rPr>
          <w:t>https://www.sdp.gov.co/sites/default/files/doc_conpes_29_pp_bti.pdf</w:t>
        </w:r>
      </w:hyperlink>
    </w:p>
  </w:footnote>
  <w:footnote w:id="101">
    <w:p w14:paraId="1CE63A9B"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CONPES D.C. No. 33. (2023). </w:t>
      </w:r>
      <w:r>
        <w:rPr>
          <w:rFonts w:ascii="Times New Roman" w:eastAsia="Times New Roman" w:hAnsi="Times New Roman" w:cs="Times New Roman"/>
          <w:i/>
          <w:sz w:val="20"/>
          <w:szCs w:val="20"/>
        </w:rPr>
        <w:t>Política Pública de Trabajo Decente y Digno en Bogotá D.C. 2023-2038</w:t>
      </w:r>
      <w:r>
        <w:rPr>
          <w:rFonts w:ascii="Times New Roman" w:eastAsia="Times New Roman" w:hAnsi="Times New Roman" w:cs="Times New Roman"/>
          <w:sz w:val="20"/>
          <w:szCs w:val="20"/>
        </w:rPr>
        <w:t>. Alcaldía Mayor de Bogotá D.C. Recuper</w:t>
      </w:r>
      <w:r>
        <w:rPr>
          <w:rFonts w:ascii="Times New Roman" w:eastAsia="Times New Roman" w:hAnsi="Times New Roman" w:cs="Times New Roman"/>
          <w:sz w:val="20"/>
          <w:szCs w:val="20"/>
        </w:rPr>
        <w:t xml:space="preserve">ado de: </w:t>
      </w:r>
      <w:hyperlink r:id="rId69" w:anchor=":~:text=La%20Pol%C3%ADtica%20P%C3%BAblica%20de%20Trabajo%20Decente">
        <w:r>
          <w:rPr>
            <w:rFonts w:ascii="Times New Roman" w:eastAsia="Times New Roman" w:hAnsi="Times New Roman" w:cs="Times New Roman"/>
            <w:color w:val="1155CC"/>
            <w:sz w:val="20"/>
            <w:szCs w:val="20"/>
            <w:u w:val="single"/>
          </w:rPr>
          <w:t>https://www.sdp.gov.co/sites/default/files/decretos-conpes/doc_conpes_33_pp_tdecente.pdf</w:t>
        </w:r>
      </w:hyperlink>
    </w:p>
  </w:footnote>
  <w:footnote w:id="102">
    <w:p w14:paraId="1CE63A9C" w14:textId="77777777" w:rsidR="004D0443" w:rsidRDefault="00DA3067">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CONPES D.C. No. 25. (2023). </w:t>
      </w:r>
      <w:r>
        <w:rPr>
          <w:rFonts w:ascii="Times New Roman" w:eastAsia="Times New Roman" w:hAnsi="Times New Roman" w:cs="Times New Roman"/>
          <w:i/>
          <w:sz w:val="20"/>
          <w:szCs w:val="20"/>
        </w:rPr>
        <w:t>Política Pública de Productividad, Competitividad y Desarrollo Socioeconómico 2011-2038</w:t>
      </w:r>
      <w:r>
        <w:rPr>
          <w:rFonts w:ascii="Times New Roman" w:eastAsia="Times New Roman" w:hAnsi="Times New Roman" w:cs="Times New Roman"/>
          <w:sz w:val="20"/>
          <w:szCs w:val="20"/>
        </w:rPr>
        <w:t xml:space="preserve">. Alcaldía Mayor de Bogotá D.C. Recuperado de: </w:t>
      </w:r>
      <w:hyperlink r:id="rId70" w:anchor=":~:text=Ahora%20bien,%20es%20importante%20destacar%20aquellos">
        <w:r>
          <w:rPr>
            <w:rFonts w:ascii="Times New Roman" w:eastAsia="Times New Roman" w:hAnsi="Times New Roman" w:cs="Times New Roman"/>
            <w:color w:val="1155CC"/>
            <w:sz w:val="20"/>
            <w:szCs w:val="20"/>
            <w:u w:val="single"/>
          </w:rPr>
          <w:t>https://www.sdp.gov.co/sites/default/files/doc_conpes_d.c._25_pp_produ</w:t>
        </w:r>
        <w:r>
          <w:rPr>
            <w:rFonts w:ascii="Times New Roman" w:eastAsia="Times New Roman" w:hAnsi="Times New Roman" w:cs="Times New Roman"/>
            <w:color w:val="1155CC"/>
            <w:sz w:val="20"/>
            <w:szCs w:val="20"/>
            <w:u w:val="single"/>
          </w:rPr>
          <w:t>ctividad_y_competitividad_dc.pdf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E63A1F" w14:textId="77777777" w:rsidR="004D0443" w:rsidRDefault="004D0443">
    <w:pPr>
      <w:widowControl w:val="0"/>
      <w:pBdr>
        <w:top w:val="nil"/>
        <w:left w:val="nil"/>
        <w:bottom w:val="nil"/>
        <w:right w:val="nil"/>
        <w:between w:val="nil"/>
      </w:pBdr>
      <w:spacing w:line="276" w:lineRule="auto"/>
      <w:rPr>
        <w:rFonts w:ascii="Bookman Old Style" w:eastAsia="Bookman Old Style" w:hAnsi="Bookman Old Style" w:cs="Bookman Old Style"/>
        <w:sz w:val="20"/>
        <w:szCs w:val="20"/>
      </w:rPr>
    </w:pPr>
  </w:p>
  <w:tbl>
    <w:tblPr>
      <w:tblStyle w:val="aff4"/>
      <w:tblW w:w="883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61"/>
      <w:gridCol w:w="4235"/>
      <w:gridCol w:w="2234"/>
    </w:tblGrid>
    <w:tr w:rsidR="004D0443" w14:paraId="1CE63A23" w14:textId="77777777">
      <w:trPr>
        <w:trHeight w:val="454"/>
      </w:trPr>
      <w:tc>
        <w:tcPr>
          <w:tcW w:w="2361" w:type="dxa"/>
          <w:vMerge w:val="restart"/>
          <w:vAlign w:val="center"/>
        </w:tcPr>
        <w:p w14:paraId="1CE63A20" w14:textId="77777777" w:rsidR="004D0443" w:rsidRDefault="00DA3067">
          <w:pPr>
            <w:jc w:val="center"/>
            <w:rPr>
              <w:sz w:val="16"/>
              <w:szCs w:val="16"/>
            </w:rPr>
          </w:pPr>
          <w:r>
            <w:rPr>
              <w:noProof/>
              <w:sz w:val="16"/>
              <w:szCs w:val="16"/>
              <w:lang w:val="es-CO"/>
            </w:rPr>
            <w:drawing>
              <wp:inline distT="0" distB="0" distL="0" distR="0" wp14:anchorId="1CE63A35" wp14:editId="1CE63A36">
                <wp:extent cx="749935" cy="883920"/>
                <wp:effectExtent l="0" t="0" r="0" b="0"/>
                <wp:docPr id="152"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1"/>
                        <a:srcRect/>
                        <a:stretch>
                          <a:fillRect/>
                        </a:stretch>
                      </pic:blipFill>
                      <pic:spPr>
                        <a:xfrm>
                          <a:off x="0" y="0"/>
                          <a:ext cx="749935" cy="883920"/>
                        </a:xfrm>
                        <a:prstGeom prst="rect">
                          <a:avLst/>
                        </a:prstGeom>
                        <a:ln/>
                      </pic:spPr>
                    </pic:pic>
                  </a:graphicData>
                </a:graphic>
              </wp:inline>
            </w:drawing>
          </w:r>
        </w:p>
      </w:tc>
      <w:tc>
        <w:tcPr>
          <w:tcW w:w="4235" w:type="dxa"/>
          <w:vAlign w:val="center"/>
        </w:tcPr>
        <w:p w14:paraId="1CE63A21" w14:textId="77777777" w:rsidR="004D0443" w:rsidRDefault="00DA3067">
          <w:pPr>
            <w:jc w:val="center"/>
            <w:rPr>
              <w:sz w:val="18"/>
              <w:szCs w:val="18"/>
            </w:rPr>
          </w:pPr>
          <w:r>
            <w:rPr>
              <w:sz w:val="18"/>
              <w:szCs w:val="18"/>
            </w:rPr>
            <w:t>PROCESO GESTIÓN NORMATIVA</w:t>
          </w:r>
        </w:p>
      </w:tc>
      <w:tc>
        <w:tcPr>
          <w:tcW w:w="2234" w:type="dxa"/>
          <w:vAlign w:val="center"/>
        </w:tcPr>
        <w:p w14:paraId="1CE63A22" w14:textId="77777777" w:rsidR="004D0443" w:rsidRDefault="00DA3067">
          <w:pPr>
            <w:rPr>
              <w:sz w:val="16"/>
              <w:szCs w:val="16"/>
            </w:rPr>
          </w:pPr>
          <w:r>
            <w:rPr>
              <w:sz w:val="16"/>
              <w:szCs w:val="16"/>
            </w:rPr>
            <w:t>CÓDIGO</w:t>
          </w:r>
          <w:r>
            <w:rPr>
              <w:color w:val="3366FF"/>
              <w:sz w:val="16"/>
              <w:szCs w:val="16"/>
            </w:rPr>
            <w:t xml:space="preserve">: </w:t>
          </w:r>
          <w:r>
            <w:rPr>
              <w:sz w:val="16"/>
              <w:szCs w:val="16"/>
            </w:rPr>
            <w:t>GNV-FO-001</w:t>
          </w:r>
        </w:p>
      </w:tc>
    </w:tr>
    <w:tr w:rsidR="004D0443" w14:paraId="1CE63A27" w14:textId="77777777">
      <w:trPr>
        <w:trHeight w:val="454"/>
      </w:trPr>
      <w:tc>
        <w:tcPr>
          <w:tcW w:w="2361" w:type="dxa"/>
          <w:vMerge/>
          <w:vAlign w:val="center"/>
        </w:tcPr>
        <w:p w14:paraId="1CE63A24" w14:textId="77777777" w:rsidR="004D0443" w:rsidRDefault="004D0443">
          <w:pPr>
            <w:widowControl w:val="0"/>
            <w:pBdr>
              <w:top w:val="nil"/>
              <w:left w:val="nil"/>
              <w:bottom w:val="nil"/>
              <w:right w:val="nil"/>
              <w:between w:val="nil"/>
            </w:pBdr>
            <w:spacing w:line="276" w:lineRule="auto"/>
            <w:rPr>
              <w:sz w:val="16"/>
              <w:szCs w:val="16"/>
            </w:rPr>
          </w:pPr>
        </w:p>
      </w:tc>
      <w:tc>
        <w:tcPr>
          <w:tcW w:w="4235" w:type="dxa"/>
          <w:vMerge w:val="restart"/>
          <w:vAlign w:val="center"/>
        </w:tcPr>
        <w:p w14:paraId="1CE63A25" w14:textId="77777777" w:rsidR="004D0443" w:rsidRDefault="00DA3067">
          <w:pPr>
            <w:jc w:val="center"/>
            <w:rPr>
              <w:sz w:val="20"/>
              <w:szCs w:val="20"/>
            </w:rPr>
          </w:pPr>
          <w:r>
            <w:rPr>
              <w:sz w:val="20"/>
              <w:szCs w:val="20"/>
            </w:rPr>
            <w:t>PRESENTACIÓN PROYECTOS DE ACUERDO</w:t>
          </w:r>
        </w:p>
      </w:tc>
      <w:tc>
        <w:tcPr>
          <w:tcW w:w="2234" w:type="dxa"/>
          <w:vAlign w:val="center"/>
        </w:tcPr>
        <w:p w14:paraId="1CE63A26" w14:textId="77777777" w:rsidR="004D0443" w:rsidRDefault="00DA3067">
          <w:pPr>
            <w:rPr>
              <w:sz w:val="16"/>
              <w:szCs w:val="16"/>
            </w:rPr>
          </w:pPr>
          <w:r>
            <w:rPr>
              <w:sz w:val="16"/>
              <w:szCs w:val="16"/>
            </w:rPr>
            <w:t>VERSIÓN:    02</w:t>
          </w:r>
        </w:p>
      </w:tc>
    </w:tr>
    <w:tr w:rsidR="004D0443" w14:paraId="1CE63A2B" w14:textId="77777777">
      <w:trPr>
        <w:trHeight w:val="454"/>
      </w:trPr>
      <w:tc>
        <w:tcPr>
          <w:tcW w:w="2361" w:type="dxa"/>
          <w:vMerge/>
          <w:vAlign w:val="center"/>
        </w:tcPr>
        <w:p w14:paraId="1CE63A28" w14:textId="77777777" w:rsidR="004D0443" w:rsidRDefault="004D0443">
          <w:pPr>
            <w:widowControl w:val="0"/>
            <w:pBdr>
              <w:top w:val="nil"/>
              <w:left w:val="nil"/>
              <w:bottom w:val="nil"/>
              <w:right w:val="nil"/>
              <w:between w:val="nil"/>
            </w:pBdr>
            <w:spacing w:line="276" w:lineRule="auto"/>
            <w:rPr>
              <w:sz w:val="16"/>
              <w:szCs w:val="16"/>
            </w:rPr>
          </w:pPr>
        </w:p>
      </w:tc>
      <w:tc>
        <w:tcPr>
          <w:tcW w:w="4235" w:type="dxa"/>
          <w:vMerge/>
          <w:vAlign w:val="center"/>
        </w:tcPr>
        <w:p w14:paraId="1CE63A29" w14:textId="77777777" w:rsidR="004D0443" w:rsidRDefault="004D0443">
          <w:pPr>
            <w:widowControl w:val="0"/>
            <w:pBdr>
              <w:top w:val="nil"/>
              <w:left w:val="nil"/>
              <w:bottom w:val="nil"/>
              <w:right w:val="nil"/>
              <w:between w:val="nil"/>
            </w:pBdr>
            <w:spacing w:line="276" w:lineRule="auto"/>
            <w:rPr>
              <w:sz w:val="16"/>
              <w:szCs w:val="16"/>
            </w:rPr>
          </w:pPr>
        </w:p>
      </w:tc>
      <w:tc>
        <w:tcPr>
          <w:tcW w:w="2234" w:type="dxa"/>
          <w:vAlign w:val="center"/>
        </w:tcPr>
        <w:p w14:paraId="1CE63A2A" w14:textId="77777777" w:rsidR="004D0443" w:rsidRDefault="00DA3067">
          <w:pPr>
            <w:rPr>
              <w:sz w:val="16"/>
              <w:szCs w:val="16"/>
            </w:rPr>
          </w:pPr>
          <w:r>
            <w:rPr>
              <w:sz w:val="16"/>
              <w:szCs w:val="16"/>
            </w:rPr>
            <w:t>FECHA: 14-Nov-2019</w:t>
          </w:r>
        </w:p>
      </w:tc>
    </w:tr>
  </w:tbl>
  <w:p w14:paraId="1CE63A2C" w14:textId="77777777" w:rsidR="004D0443" w:rsidRDefault="004D0443">
    <w:pPr>
      <w:pBdr>
        <w:top w:val="nil"/>
        <w:left w:val="nil"/>
        <w:bottom w:val="nil"/>
        <w:right w:val="nil"/>
        <w:between w:val="nil"/>
      </w:pBdr>
      <w:tabs>
        <w:tab w:val="center" w:pos="4252"/>
        <w:tab w:val="right" w:pos="8504"/>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FF059F5"/>
    <w:multiLevelType w:val="multilevel"/>
    <w:tmpl w:val="AD202CA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3B2530D6"/>
    <w:multiLevelType w:val="multilevel"/>
    <w:tmpl w:val="5BE023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46F3240F"/>
    <w:multiLevelType w:val="multilevel"/>
    <w:tmpl w:val="38A0CC20"/>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0443"/>
    <w:rsid w:val="004D0443"/>
    <w:rsid w:val="00DA306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E637B8"/>
  <w15:docId w15:val="{7C3F68D0-CD3E-4333-9119-E4652098B2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ES"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uiPriority w:val="9"/>
    <w:qFormat/>
    <w:pPr>
      <w:keepNext/>
      <w:jc w:val="center"/>
      <w:outlineLvl w:val="0"/>
    </w:pPr>
    <w:rPr>
      <w:rFonts w:ascii="Times New Roman" w:eastAsia="Times New Roman" w:hAnsi="Times New Roman" w:cs="Times New Roman"/>
      <w:color w:val="000000"/>
    </w:rPr>
  </w:style>
  <w:style w:type="paragraph" w:styleId="Ttulo2">
    <w:name w:val="heading 2"/>
    <w:basedOn w:val="Normal"/>
    <w:next w:val="Normal"/>
    <w:uiPriority w:val="9"/>
    <w:semiHidden/>
    <w:unhideWhenUsed/>
    <w:qFormat/>
    <w:pPr>
      <w:keepNext/>
      <w:outlineLvl w:val="1"/>
    </w:pPr>
    <w:rPr>
      <w:rFonts w:ascii="Times New Roman" w:eastAsia="Times New Roman" w:hAnsi="Times New Roman" w:cs="Times New Roman"/>
      <w:color w:val="000000"/>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spacing w:before="240" w:after="60"/>
      <w:outlineLvl w:val="3"/>
    </w:pPr>
    <w:rPr>
      <w:rFonts w:ascii="Times New Roman" w:eastAsia="Times New Roman" w:hAnsi="Times New Roman" w:cs="Times New Roman"/>
      <w:b/>
      <w:color w:val="000000"/>
      <w:sz w:val="28"/>
      <w:szCs w:val="28"/>
    </w:rPr>
  </w:style>
  <w:style w:type="paragraph" w:styleId="Ttulo5">
    <w:name w:val="heading 5"/>
    <w:basedOn w:val="Normal"/>
    <w:next w:val="Normal"/>
    <w:uiPriority w:val="9"/>
    <w:semiHidden/>
    <w:unhideWhenUsed/>
    <w:qFormat/>
    <w:pPr>
      <w:keepNext/>
      <w:keepLines/>
      <w:spacing w:before="200"/>
      <w:outlineLvl w:val="4"/>
    </w:pPr>
    <w:rPr>
      <w:rFonts w:ascii="Cambria" w:eastAsia="Cambria" w:hAnsi="Cambria" w:cs="Cambria"/>
      <w:color w:val="243F60"/>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tblPr>
      <w:tblCellMar>
        <w:top w:w="0" w:type="dxa"/>
        <w:left w:w="0" w:type="dxa"/>
        <w:bottom w:w="0" w:type="dxa"/>
        <w:right w:w="0" w:type="dxa"/>
      </w:tblCellMar>
    </w:tblPr>
  </w:style>
  <w:style w:type="table" w:customStyle="1" w:styleId="TableNormala">
    <w:name w:val="Table Normal"/>
    <w:tblPr>
      <w:tblCellMar>
        <w:top w:w="0" w:type="dxa"/>
        <w:left w:w="0" w:type="dxa"/>
        <w:bottom w:w="0" w:type="dxa"/>
        <w:right w:w="0" w:type="dxa"/>
      </w:tblCellMar>
    </w:tblPr>
  </w:style>
  <w:style w:type="table" w:customStyle="1" w:styleId="TableNormalb">
    <w:name w:val="Table Normal"/>
    <w:tblPr>
      <w:tblCellMar>
        <w:top w:w="0" w:type="dxa"/>
        <w:left w:w="0" w:type="dxa"/>
        <w:bottom w:w="0" w:type="dxa"/>
        <w:right w:w="0" w:type="dxa"/>
      </w:tblCellMar>
    </w:tblPr>
  </w:style>
  <w:style w:type="table" w:customStyle="1" w:styleId="TableNormalc">
    <w:name w:val="Table Normal"/>
    <w:tblPr>
      <w:tblCellMar>
        <w:top w:w="0" w:type="dxa"/>
        <w:left w:w="0" w:type="dxa"/>
        <w:bottom w:w="0" w:type="dxa"/>
        <w:right w:w="0" w:type="dxa"/>
      </w:tblCellMar>
    </w:tblPr>
  </w:style>
  <w:style w:type="table" w:customStyle="1" w:styleId="TableNormald">
    <w:name w:val="Table Normal"/>
    <w:tblPr>
      <w:tblCellMar>
        <w:top w:w="0" w:type="dxa"/>
        <w:left w:w="0" w:type="dxa"/>
        <w:bottom w:w="0" w:type="dxa"/>
        <w:right w:w="0" w:type="dxa"/>
      </w:tblCellMar>
    </w:tbl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d"/>
    <w:tblPr>
      <w:tblStyleRowBandSize w:val="1"/>
      <w:tblStyleColBandSize w:val="1"/>
      <w:tblCellMar>
        <w:left w:w="70" w:type="dxa"/>
        <w:right w:w="70" w:type="dxa"/>
      </w:tblCellMar>
    </w:tblPr>
  </w:style>
  <w:style w:type="paragraph" w:styleId="Textocomentario">
    <w:name w:val="annotation text"/>
    <w:basedOn w:val="Normal"/>
    <w:link w:val="TextocomentarioCar"/>
    <w:uiPriority w:val="99"/>
    <w:semiHidden/>
    <w:unhideWhenUsed/>
    <w:rPr>
      <w:sz w:val="20"/>
      <w:szCs w:val="20"/>
    </w:rPr>
  </w:style>
  <w:style w:type="character" w:customStyle="1" w:styleId="TextocomentarioCar">
    <w:name w:val="Texto comentario Car"/>
    <w:basedOn w:val="Fuentedeprrafopredeter"/>
    <w:link w:val="Textocomentario"/>
    <w:uiPriority w:val="99"/>
    <w:semiHidden/>
    <w:rPr>
      <w:sz w:val="20"/>
      <w:szCs w:val="20"/>
    </w:rPr>
  </w:style>
  <w:style w:type="character" w:styleId="Refdecomentario">
    <w:name w:val="annotation reference"/>
    <w:basedOn w:val="Fuentedeprrafopredeter"/>
    <w:uiPriority w:val="99"/>
    <w:semiHidden/>
    <w:unhideWhenUsed/>
    <w:rPr>
      <w:sz w:val="16"/>
      <w:szCs w:val="16"/>
    </w:rPr>
  </w:style>
  <w:style w:type="paragraph" w:styleId="Textodeglobo">
    <w:name w:val="Balloon Text"/>
    <w:basedOn w:val="Normal"/>
    <w:link w:val="TextodegloboCar"/>
    <w:uiPriority w:val="99"/>
    <w:semiHidden/>
    <w:unhideWhenUsed/>
    <w:rsid w:val="00957344"/>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57344"/>
    <w:rPr>
      <w:rFonts w:ascii="Segoe UI" w:hAnsi="Segoe UI" w:cs="Segoe UI"/>
      <w:sz w:val="18"/>
      <w:szCs w:val="18"/>
    </w:rPr>
  </w:style>
  <w:style w:type="paragraph" w:styleId="Revisin">
    <w:name w:val="Revision"/>
    <w:hidden/>
    <w:uiPriority w:val="99"/>
    <w:semiHidden/>
    <w:rsid w:val="00957344"/>
  </w:style>
  <w:style w:type="paragraph" w:styleId="Encabezado">
    <w:name w:val="header"/>
    <w:basedOn w:val="Normal"/>
    <w:link w:val="EncabezadoCar"/>
    <w:uiPriority w:val="99"/>
    <w:unhideWhenUsed/>
    <w:rsid w:val="005240A3"/>
    <w:pPr>
      <w:tabs>
        <w:tab w:val="center" w:pos="4419"/>
        <w:tab w:val="right" w:pos="8838"/>
      </w:tabs>
    </w:pPr>
  </w:style>
  <w:style w:type="character" w:customStyle="1" w:styleId="EncabezadoCar">
    <w:name w:val="Encabezado Car"/>
    <w:basedOn w:val="Fuentedeprrafopredeter"/>
    <w:link w:val="Encabezado"/>
    <w:uiPriority w:val="99"/>
    <w:rsid w:val="005240A3"/>
  </w:style>
  <w:style w:type="paragraph" w:styleId="Piedepgina">
    <w:name w:val="footer"/>
    <w:basedOn w:val="Normal"/>
    <w:link w:val="PiedepginaCar"/>
    <w:uiPriority w:val="99"/>
    <w:unhideWhenUsed/>
    <w:rsid w:val="005240A3"/>
    <w:pPr>
      <w:tabs>
        <w:tab w:val="center" w:pos="4419"/>
        <w:tab w:val="right" w:pos="8838"/>
      </w:tabs>
    </w:pPr>
  </w:style>
  <w:style w:type="character" w:customStyle="1" w:styleId="PiedepginaCar">
    <w:name w:val="Pie de página Car"/>
    <w:basedOn w:val="Fuentedeprrafopredeter"/>
    <w:link w:val="Piedepgina"/>
    <w:uiPriority w:val="99"/>
    <w:rsid w:val="005240A3"/>
  </w:style>
  <w:style w:type="table" w:customStyle="1" w:styleId="a0">
    <w:basedOn w:val="TableNormald"/>
    <w:tblPr>
      <w:tblStyleRowBandSize w:val="1"/>
      <w:tblStyleColBandSize w:val="1"/>
      <w:tblCellMar>
        <w:left w:w="70" w:type="dxa"/>
        <w:right w:w="70" w:type="dxa"/>
      </w:tblCellMar>
    </w:tblPr>
  </w:style>
  <w:style w:type="table" w:customStyle="1" w:styleId="a1">
    <w:basedOn w:val="TableNormald"/>
    <w:tblPr>
      <w:tblStyleRowBandSize w:val="1"/>
      <w:tblStyleColBandSize w:val="1"/>
      <w:tblCellMar>
        <w:left w:w="70" w:type="dxa"/>
        <w:right w:w="70" w:type="dxa"/>
      </w:tblCellMar>
    </w:tblPr>
  </w:style>
  <w:style w:type="table" w:customStyle="1" w:styleId="a2">
    <w:basedOn w:val="TableNormald"/>
    <w:tblPr>
      <w:tblStyleRowBandSize w:val="1"/>
      <w:tblStyleColBandSize w:val="1"/>
      <w:tblCellMar>
        <w:top w:w="100" w:type="dxa"/>
        <w:left w:w="100" w:type="dxa"/>
        <w:bottom w:w="100" w:type="dxa"/>
        <w:right w:w="100" w:type="dxa"/>
      </w:tblCellMar>
    </w:tblPr>
  </w:style>
  <w:style w:type="table" w:customStyle="1" w:styleId="a3">
    <w:basedOn w:val="TableNormald"/>
    <w:tblPr>
      <w:tblStyleRowBandSize w:val="1"/>
      <w:tblStyleColBandSize w:val="1"/>
      <w:tblCellMar>
        <w:left w:w="70" w:type="dxa"/>
        <w:right w:w="70" w:type="dxa"/>
      </w:tblCellMar>
    </w:tblPr>
  </w:style>
  <w:style w:type="table" w:customStyle="1" w:styleId="a4">
    <w:basedOn w:val="TableNormald"/>
    <w:tblPr>
      <w:tblStyleRowBandSize w:val="1"/>
      <w:tblStyleColBandSize w:val="1"/>
      <w:tblCellMar>
        <w:left w:w="70" w:type="dxa"/>
        <w:right w:w="70" w:type="dxa"/>
      </w:tblCellMar>
    </w:tblPr>
  </w:style>
  <w:style w:type="table" w:customStyle="1" w:styleId="a5">
    <w:basedOn w:val="TableNormald"/>
    <w:tblPr>
      <w:tblStyleRowBandSize w:val="1"/>
      <w:tblStyleColBandSize w:val="1"/>
      <w:tblCellMar>
        <w:left w:w="70" w:type="dxa"/>
        <w:right w:w="70" w:type="dxa"/>
      </w:tblCellMar>
    </w:tblPr>
  </w:style>
  <w:style w:type="table" w:customStyle="1" w:styleId="a6">
    <w:basedOn w:val="TableNormald"/>
    <w:tblPr>
      <w:tblStyleRowBandSize w:val="1"/>
      <w:tblStyleColBandSize w:val="1"/>
      <w:tblCellMar>
        <w:left w:w="70" w:type="dxa"/>
        <w:right w:w="70" w:type="dxa"/>
      </w:tblCellMar>
    </w:tblPr>
  </w:style>
  <w:style w:type="table" w:customStyle="1" w:styleId="a7">
    <w:basedOn w:val="TableNormald"/>
    <w:tblPr>
      <w:tblStyleRowBandSize w:val="1"/>
      <w:tblStyleColBandSize w:val="1"/>
      <w:tblCellMar>
        <w:top w:w="100" w:type="dxa"/>
        <w:left w:w="100" w:type="dxa"/>
        <w:bottom w:w="100" w:type="dxa"/>
        <w:right w:w="100" w:type="dxa"/>
      </w:tblCellMar>
    </w:tblPr>
  </w:style>
  <w:style w:type="table" w:customStyle="1" w:styleId="a8">
    <w:basedOn w:val="TableNormald"/>
    <w:tblPr>
      <w:tblStyleRowBandSize w:val="1"/>
      <w:tblStyleColBandSize w:val="1"/>
      <w:tblCellMar>
        <w:top w:w="100" w:type="dxa"/>
        <w:left w:w="100" w:type="dxa"/>
        <w:bottom w:w="100" w:type="dxa"/>
        <w:right w:w="100" w:type="dxa"/>
      </w:tblCellMar>
    </w:tblPr>
  </w:style>
  <w:style w:type="table" w:customStyle="1" w:styleId="a9">
    <w:basedOn w:val="TableNormald"/>
    <w:tblPr>
      <w:tblStyleRowBandSize w:val="1"/>
      <w:tblStyleColBandSize w:val="1"/>
      <w:tblCellMar>
        <w:left w:w="70" w:type="dxa"/>
        <w:right w:w="70" w:type="dxa"/>
      </w:tblCellMar>
    </w:tblPr>
  </w:style>
  <w:style w:type="table" w:customStyle="1" w:styleId="aa">
    <w:basedOn w:val="TableNormal6"/>
    <w:tblPr>
      <w:tblStyleRowBandSize w:val="1"/>
      <w:tblStyleColBandSize w:val="1"/>
      <w:tblCellMar>
        <w:top w:w="100" w:type="dxa"/>
        <w:left w:w="100" w:type="dxa"/>
        <w:bottom w:w="100" w:type="dxa"/>
        <w:right w:w="100" w:type="dxa"/>
      </w:tblCellMar>
    </w:tblPr>
  </w:style>
  <w:style w:type="table" w:customStyle="1" w:styleId="ab">
    <w:basedOn w:val="TableNormal6"/>
    <w:tblPr>
      <w:tblStyleRowBandSize w:val="1"/>
      <w:tblStyleColBandSize w:val="1"/>
      <w:tblCellMar>
        <w:top w:w="100" w:type="dxa"/>
        <w:left w:w="70" w:type="dxa"/>
        <w:bottom w:w="100" w:type="dxa"/>
        <w:right w:w="70" w:type="dxa"/>
      </w:tblCellMar>
    </w:tblPr>
  </w:style>
  <w:style w:type="table" w:customStyle="1" w:styleId="ac">
    <w:basedOn w:val="TableNormal6"/>
    <w:tblPr>
      <w:tblStyleRowBandSize w:val="1"/>
      <w:tblStyleColBandSize w:val="1"/>
      <w:tblCellMar>
        <w:top w:w="100" w:type="dxa"/>
        <w:left w:w="70" w:type="dxa"/>
        <w:bottom w:w="100" w:type="dxa"/>
        <w:right w:w="70" w:type="dxa"/>
      </w:tblCellMar>
    </w:tblPr>
  </w:style>
  <w:style w:type="table" w:customStyle="1" w:styleId="ad">
    <w:basedOn w:val="TableNormal6"/>
    <w:tblPr>
      <w:tblStyleRowBandSize w:val="1"/>
      <w:tblStyleColBandSize w:val="1"/>
      <w:tblCellMar>
        <w:top w:w="100" w:type="dxa"/>
        <w:left w:w="100" w:type="dxa"/>
        <w:bottom w:w="100" w:type="dxa"/>
        <w:right w:w="100" w:type="dxa"/>
      </w:tblCellMar>
    </w:tblPr>
  </w:style>
  <w:style w:type="table" w:customStyle="1" w:styleId="ae">
    <w:basedOn w:val="TableNormal6"/>
    <w:tblPr>
      <w:tblStyleRowBandSize w:val="1"/>
      <w:tblStyleColBandSize w:val="1"/>
      <w:tblCellMar>
        <w:top w:w="100" w:type="dxa"/>
        <w:left w:w="100" w:type="dxa"/>
        <w:bottom w:w="100" w:type="dxa"/>
        <w:right w:w="100" w:type="dxa"/>
      </w:tblCellMar>
    </w:tblPr>
  </w:style>
  <w:style w:type="table" w:customStyle="1" w:styleId="af">
    <w:basedOn w:val="TableNormal6"/>
    <w:tblPr>
      <w:tblStyleRowBandSize w:val="1"/>
      <w:tblStyleColBandSize w:val="1"/>
      <w:tblCellMar>
        <w:top w:w="100" w:type="dxa"/>
        <w:left w:w="100" w:type="dxa"/>
        <w:bottom w:w="100" w:type="dxa"/>
        <w:right w:w="100" w:type="dxa"/>
      </w:tblCellMar>
    </w:tblPr>
  </w:style>
  <w:style w:type="table" w:customStyle="1" w:styleId="af0">
    <w:basedOn w:val="TableNormal6"/>
    <w:tblPr>
      <w:tblStyleRowBandSize w:val="1"/>
      <w:tblStyleColBandSize w:val="1"/>
      <w:tblCellMar>
        <w:top w:w="100" w:type="dxa"/>
        <w:left w:w="100" w:type="dxa"/>
        <w:bottom w:w="100" w:type="dxa"/>
        <w:right w:w="100" w:type="dxa"/>
      </w:tblCellMar>
    </w:tblPr>
  </w:style>
  <w:style w:type="table" w:customStyle="1" w:styleId="af1">
    <w:basedOn w:val="TableNormal6"/>
    <w:tblPr>
      <w:tblStyleRowBandSize w:val="1"/>
      <w:tblStyleColBandSize w:val="1"/>
      <w:tblCellMar>
        <w:top w:w="100" w:type="dxa"/>
        <w:left w:w="70" w:type="dxa"/>
        <w:bottom w:w="100" w:type="dxa"/>
        <w:right w:w="70" w:type="dxa"/>
      </w:tblCellMar>
    </w:tblPr>
  </w:style>
  <w:style w:type="table" w:customStyle="1" w:styleId="af2">
    <w:basedOn w:val="TableNormal6"/>
    <w:tblPr>
      <w:tblStyleRowBandSize w:val="1"/>
      <w:tblStyleColBandSize w:val="1"/>
      <w:tblCellMar>
        <w:top w:w="100" w:type="dxa"/>
        <w:left w:w="70" w:type="dxa"/>
        <w:bottom w:w="100" w:type="dxa"/>
        <w:right w:w="70" w:type="dxa"/>
      </w:tblCellMar>
    </w:tblPr>
  </w:style>
  <w:style w:type="table" w:customStyle="1" w:styleId="af3">
    <w:basedOn w:val="TableNormal6"/>
    <w:tblPr>
      <w:tblStyleRowBandSize w:val="1"/>
      <w:tblStyleColBandSize w:val="1"/>
      <w:tblCellMar>
        <w:top w:w="100" w:type="dxa"/>
        <w:left w:w="100" w:type="dxa"/>
        <w:bottom w:w="100" w:type="dxa"/>
        <w:right w:w="100" w:type="dxa"/>
      </w:tblCellMar>
    </w:tblPr>
  </w:style>
  <w:style w:type="table" w:customStyle="1" w:styleId="af4">
    <w:basedOn w:val="TableNormal6"/>
    <w:tblPr>
      <w:tblStyleRowBandSize w:val="1"/>
      <w:tblStyleColBandSize w:val="1"/>
      <w:tblCellMar>
        <w:top w:w="100" w:type="dxa"/>
        <w:left w:w="100" w:type="dxa"/>
        <w:bottom w:w="100" w:type="dxa"/>
        <w:right w:w="100" w:type="dxa"/>
      </w:tblCellMar>
    </w:tblPr>
  </w:style>
  <w:style w:type="table" w:customStyle="1" w:styleId="af5">
    <w:basedOn w:val="TableNormal6"/>
    <w:tblPr>
      <w:tblStyleRowBandSize w:val="1"/>
      <w:tblStyleColBandSize w:val="1"/>
      <w:tblCellMar>
        <w:top w:w="100" w:type="dxa"/>
        <w:left w:w="100" w:type="dxa"/>
        <w:bottom w:w="100" w:type="dxa"/>
        <w:right w:w="100" w:type="dxa"/>
      </w:tblCellMar>
    </w:tblPr>
  </w:style>
  <w:style w:type="table" w:customStyle="1" w:styleId="af6">
    <w:basedOn w:val="TableNormal6"/>
    <w:tblPr>
      <w:tblStyleRowBandSize w:val="1"/>
      <w:tblStyleColBandSize w:val="1"/>
      <w:tblCellMar>
        <w:top w:w="100" w:type="dxa"/>
        <w:left w:w="100" w:type="dxa"/>
        <w:bottom w:w="100" w:type="dxa"/>
        <w:right w:w="100" w:type="dxa"/>
      </w:tblCellMar>
    </w:tblPr>
  </w:style>
  <w:style w:type="table" w:customStyle="1" w:styleId="af7">
    <w:basedOn w:val="TableNormal6"/>
    <w:tblPr>
      <w:tblStyleRowBandSize w:val="1"/>
      <w:tblStyleColBandSize w:val="1"/>
      <w:tblCellMar>
        <w:top w:w="100" w:type="dxa"/>
        <w:left w:w="100" w:type="dxa"/>
        <w:bottom w:w="100" w:type="dxa"/>
        <w:right w:w="100" w:type="dxa"/>
      </w:tblCellMar>
    </w:tblPr>
  </w:style>
  <w:style w:type="table" w:customStyle="1" w:styleId="af8">
    <w:basedOn w:val="TableNormal6"/>
    <w:tblPr>
      <w:tblStyleRowBandSize w:val="1"/>
      <w:tblStyleColBandSize w:val="1"/>
      <w:tblCellMar>
        <w:top w:w="100" w:type="dxa"/>
        <w:left w:w="70" w:type="dxa"/>
        <w:bottom w:w="100" w:type="dxa"/>
        <w:right w:w="70" w:type="dxa"/>
      </w:tblCellMar>
    </w:tblPr>
  </w:style>
  <w:style w:type="table" w:customStyle="1" w:styleId="af9">
    <w:basedOn w:val="TableNormal6"/>
    <w:tblPr>
      <w:tblStyleRowBandSize w:val="1"/>
      <w:tblStyleColBandSize w:val="1"/>
      <w:tblCellMar>
        <w:top w:w="100" w:type="dxa"/>
        <w:left w:w="70" w:type="dxa"/>
        <w:bottom w:w="100" w:type="dxa"/>
        <w:right w:w="70" w:type="dxa"/>
      </w:tblCellMar>
    </w:tblPr>
  </w:style>
  <w:style w:type="table" w:customStyle="1" w:styleId="afa">
    <w:basedOn w:val="TableNormal6"/>
    <w:tblPr>
      <w:tblStyleRowBandSize w:val="1"/>
      <w:tblStyleColBandSize w:val="1"/>
      <w:tblCellMar>
        <w:top w:w="100" w:type="dxa"/>
        <w:left w:w="70" w:type="dxa"/>
        <w:bottom w:w="100" w:type="dxa"/>
        <w:right w:w="70" w:type="dxa"/>
      </w:tblCellMar>
    </w:tblPr>
  </w:style>
  <w:style w:type="table" w:customStyle="1" w:styleId="afb">
    <w:basedOn w:val="TableNormal6"/>
    <w:tblPr>
      <w:tblStyleRowBandSize w:val="1"/>
      <w:tblStyleColBandSize w:val="1"/>
      <w:tblCellMar>
        <w:top w:w="100" w:type="dxa"/>
        <w:left w:w="70" w:type="dxa"/>
        <w:bottom w:w="100" w:type="dxa"/>
        <w:right w:w="70" w:type="dxa"/>
      </w:tblCellMar>
    </w:tblPr>
  </w:style>
  <w:style w:type="table" w:customStyle="1" w:styleId="afc">
    <w:basedOn w:val="TableNormal6"/>
    <w:tblPr>
      <w:tblStyleRowBandSize w:val="1"/>
      <w:tblStyleColBandSize w:val="1"/>
      <w:tblCellMar>
        <w:top w:w="100" w:type="dxa"/>
        <w:left w:w="70" w:type="dxa"/>
        <w:bottom w:w="100" w:type="dxa"/>
        <w:right w:w="70" w:type="dxa"/>
      </w:tblCellMar>
    </w:tblPr>
  </w:style>
  <w:style w:type="table" w:customStyle="1" w:styleId="afd">
    <w:basedOn w:val="TableNormal6"/>
    <w:tblPr>
      <w:tblStyleRowBandSize w:val="1"/>
      <w:tblStyleColBandSize w:val="1"/>
      <w:tblCellMar>
        <w:top w:w="100" w:type="dxa"/>
        <w:left w:w="70" w:type="dxa"/>
        <w:bottom w:w="100" w:type="dxa"/>
        <w:right w:w="70" w:type="dxa"/>
      </w:tblCellMar>
    </w:tblPr>
  </w:style>
  <w:style w:type="table" w:customStyle="1" w:styleId="afe">
    <w:basedOn w:val="TableNormal6"/>
    <w:tblPr>
      <w:tblStyleRowBandSize w:val="1"/>
      <w:tblStyleColBandSize w:val="1"/>
      <w:tblCellMar>
        <w:top w:w="100" w:type="dxa"/>
        <w:left w:w="70" w:type="dxa"/>
        <w:bottom w:w="100" w:type="dxa"/>
        <w:right w:w="70" w:type="dxa"/>
      </w:tblCellMar>
    </w:tblPr>
  </w:style>
  <w:style w:type="table" w:customStyle="1" w:styleId="aff">
    <w:basedOn w:val="TableNormal0"/>
    <w:tblPr>
      <w:tblStyleRowBandSize w:val="1"/>
      <w:tblStyleColBandSize w:val="1"/>
      <w:tblCellMar>
        <w:top w:w="100" w:type="dxa"/>
        <w:left w:w="70" w:type="dxa"/>
        <w:bottom w:w="100" w:type="dxa"/>
        <w:right w:w="70" w:type="dxa"/>
      </w:tblCellMar>
    </w:tblPr>
  </w:style>
  <w:style w:type="table" w:customStyle="1" w:styleId="aff0">
    <w:basedOn w:val="TableNormal0"/>
    <w:tblPr>
      <w:tblStyleRowBandSize w:val="1"/>
      <w:tblStyleColBandSize w:val="1"/>
      <w:tblCellMar>
        <w:top w:w="100" w:type="dxa"/>
        <w:left w:w="70" w:type="dxa"/>
        <w:bottom w:w="100" w:type="dxa"/>
        <w:right w:w="70" w:type="dxa"/>
      </w:tblCellMar>
    </w:tblPr>
  </w:style>
  <w:style w:type="table" w:customStyle="1" w:styleId="aff1">
    <w:basedOn w:val="TableNormal0"/>
    <w:tblPr>
      <w:tblStyleRowBandSize w:val="1"/>
      <w:tblStyleColBandSize w:val="1"/>
      <w:tblCellMar>
        <w:top w:w="100" w:type="dxa"/>
        <w:left w:w="70" w:type="dxa"/>
        <w:bottom w:w="100" w:type="dxa"/>
        <w:right w:w="70" w:type="dxa"/>
      </w:tblCellMar>
    </w:tblPr>
  </w:style>
  <w:style w:type="table" w:customStyle="1" w:styleId="aff2">
    <w:basedOn w:val="TableNormal0"/>
    <w:tblPr>
      <w:tblStyleRowBandSize w:val="1"/>
      <w:tblStyleColBandSize w:val="1"/>
      <w:tblCellMar>
        <w:top w:w="100" w:type="dxa"/>
        <w:left w:w="70" w:type="dxa"/>
        <w:bottom w:w="100" w:type="dxa"/>
        <w:right w:w="70" w:type="dxa"/>
      </w:tblCellMar>
    </w:tblPr>
  </w:style>
  <w:style w:type="table" w:customStyle="1" w:styleId="aff3">
    <w:basedOn w:val="TableNormal0"/>
    <w:tblPr>
      <w:tblStyleRowBandSize w:val="1"/>
      <w:tblStyleColBandSize w:val="1"/>
      <w:tblCellMar>
        <w:top w:w="100" w:type="dxa"/>
        <w:left w:w="70" w:type="dxa"/>
        <w:bottom w:w="100" w:type="dxa"/>
        <w:right w:w="70" w:type="dxa"/>
      </w:tblCellMar>
    </w:tblPr>
  </w:style>
  <w:style w:type="table" w:customStyle="1" w:styleId="aff4">
    <w:basedOn w:val="TableNormal0"/>
    <w:tblPr>
      <w:tblStyleRowBandSize w:val="1"/>
      <w:tblStyleColBandSize w:val="1"/>
      <w:tblCellMar>
        <w:top w:w="100" w:type="dxa"/>
        <w:left w:w="70" w:type="dxa"/>
        <w:bottom w:w="10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g"/><Relationship Id="rId27" Type="http://schemas.openxmlformats.org/officeDocument/2006/relationships/footer" Target="footer1.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26" Type="http://schemas.openxmlformats.org/officeDocument/2006/relationships/hyperlink" Target="https://www.openstartups.net/site/ranking-colombia/rankings-startups.html" TargetMode="External"/><Relationship Id="rId21" Type="http://schemas.openxmlformats.org/officeDocument/2006/relationships/hyperlink" Target="https://bibliotecadigital.ccb.org.co/items/9293e396-d952-46bf-8d01-43cb3ea92848" TargetMode="External"/><Relationship Id="rId42" Type="http://schemas.openxmlformats.org/officeDocument/2006/relationships/hyperlink" Target="https://www.forbes.com.mx/el-papel-transformador-de-las-fintech-en-la-inclusion-financiera/" TargetMode="External"/><Relationship Id="rId47" Type="http://schemas.openxmlformats.org/officeDocument/2006/relationships/hyperlink" Target="https://jointventure.org/download-the-2024-index" TargetMode="External"/><Relationship Id="rId63" Type="http://schemas.openxmlformats.org/officeDocument/2006/relationships/hyperlink" Target="https://www.funcionpublica.gov.co/eva/gestornormativo/norma.php?i=160966" TargetMode="External"/><Relationship Id="rId68" Type="http://schemas.openxmlformats.org/officeDocument/2006/relationships/hyperlink" Target="https://www.sdp.gov.co/sites/default/files/doc_conpes_29_pp_bti.pdf" TargetMode="External"/><Relationship Id="rId7" Type="http://schemas.openxmlformats.org/officeDocument/2006/relationships/hyperlink" Target="https://www.cbinsights.com/research-unicorn-companies" TargetMode="External"/><Relationship Id="rId2" Type="http://schemas.openxmlformats.org/officeDocument/2006/relationships/hyperlink" Target="https://bdigital.uncu.edu.ar/objetos_digitales/15764/startupslanuevamaneradehacernegocios.pdf" TargetMode="External"/><Relationship Id="rId16" Type="http://schemas.openxmlformats.org/officeDocument/2006/relationships/hyperlink" Target="https://www.gob.mx/shcp/articulos/el-sector-fintech-y-su-regulacion-en-mexico?idiom=es" TargetMode="External"/><Relationship Id="rId29" Type="http://schemas.openxmlformats.org/officeDocument/2006/relationships/hyperlink" Target="https://uniandes.edu.co/es/noticias/ingenieria/analisis-de-datos-clave-en-el-crecimiento-de-las-startups" TargetMode="External"/><Relationship Id="rId11" Type="http://schemas.openxmlformats.org/officeDocument/2006/relationships/hyperlink" Target="https://www.bloomberglinea.com/2024/01/27/los-8-cambios-que-redefinen-la-realidad-de-las-startups-globales-de-cara-a-2024/" TargetMode="External"/><Relationship Id="rId24" Type="http://schemas.openxmlformats.org/officeDocument/2006/relationships/hyperlink" Target="https://www.latamrepublic.com/the-top-3-countries-in-latin-america-for-startup-growth" TargetMode="External"/><Relationship Id="rId32" Type="http://schemas.openxmlformats.org/officeDocument/2006/relationships/hyperlink" Target="https://www.idbinvest.org/en/news-media/idb-invest-promotes-innovation-through-merqueo-investment" TargetMode="External"/><Relationship Id="rId37" Type="http://schemas.openxmlformats.org/officeDocument/2006/relationships/hyperlink" Target="https://forbes.co/2023/11/10/emprendedores/las-100-mejores-startups-de-colombia-2023" TargetMode="External"/><Relationship Id="rId40" Type="http://schemas.openxmlformats.org/officeDocument/2006/relationships/hyperlink" Target="https://www.colombiafintech.co/lineaDeTiempo/articulo/fintech-presente-y-futuro-del-mercado-financiero" TargetMode="External"/><Relationship Id="rId45" Type="http://schemas.openxmlformats.org/officeDocument/2006/relationships/hyperlink" Target="https://startupslatam.com/cuales-son-sus-innovaciones-conoce-a-las-10-startups-finalistas-de-startco-2024/" TargetMode="External"/><Relationship Id="rId53" Type="http://schemas.openxmlformats.org/officeDocument/2006/relationships/hyperlink" Target="https://www.un.org/sustainabledevelopment/es/globalpartnerships/" TargetMode="External"/><Relationship Id="rId58" Type="http://schemas.openxmlformats.org/officeDocument/2006/relationships/hyperlink" Target="https://forbes.co/2021/01/18/actualidad/las-10-startups-de-impacto-escogidas-para-rockstart-impact" TargetMode="External"/><Relationship Id="rId66" Type="http://schemas.openxmlformats.org/officeDocument/2006/relationships/hyperlink" Target="https://www.alcaldiabogota.gov.co/sisjur/normas/Norma1.jsp?i=129983" TargetMode="External"/><Relationship Id="rId5" Type="http://schemas.openxmlformats.org/officeDocument/2006/relationships/hyperlink" Target="https://www.researchgate.net/publication/359071428_Importance_of_startup_in_the_21st_Century_Economy" TargetMode="External"/><Relationship Id="rId61" Type="http://schemas.openxmlformats.org/officeDocument/2006/relationships/hyperlink" Target="https://www.oas.org/dil/esp/1969_Convenci%C3%B3n_Americana_sobre_Derechos_Humanos.pdf" TargetMode="External"/><Relationship Id="rId19" Type="http://schemas.openxmlformats.org/officeDocument/2006/relationships/hyperlink" Target="https://www.altosempresarios.com/noticias/papel-de-las-startups-en-la-economia-de-colombia" TargetMode="External"/><Relationship Id="rId14" Type="http://schemas.openxmlformats.org/officeDocument/2006/relationships/hyperlink" Target="https://www.migalhas.com.br/depeso/386501/sandbox-regulatorio-um-instrumento-estrategico" TargetMode="External"/><Relationship Id="rId22" Type="http://schemas.openxmlformats.org/officeDocument/2006/relationships/hyperlink" Target="https://bogota.gov.co/mi-ciudad/desarrollo-economico/programa-entorno-fortalecio-transformacion-digital-empresas-bogota" TargetMode="External"/><Relationship Id="rId27" Type="http://schemas.openxmlformats.org/officeDocument/2006/relationships/hyperlink" Target="https://es.investinbogota.org/noticias/scaleupbog-la-plataforma-del-ecosistema-emprendedor-de-bogota-region-toma-un-nuevo-impulso/" TargetMode="External"/><Relationship Id="rId30" Type="http://schemas.openxmlformats.org/officeDocument/2006/relationships/hyperlink" Target="https://colombiaone.com/2024/04/21/rappi-colombian-delivery-app/" TargetMode="External"/><Relationship Id="rId35" Type="http://schemas.openxmlformats.org/officeDocument/2006/relationships/hyperlink" Target="https://latamlist.com/ubits-edtech-raises-25m-series-b-for-launch-into-spain/" TargetMode="External"/><Relationship Id="rId43" Type="http://schemas.openxmlformats.org/officeDocument/2006/relationships/hyperlink" Target="https://publications.iadb.org/es/fintech-en-america-latina-y-el-caribe-un-ecosistema-consolidado-para-la-recuperacion" TargetMode="External"/><Relationship Id="rId48" Type="http://schemas.openxmlformats.org/officeDocument/2006/relationships/hyperlink" Target="https://londonlovestech.com/london-ranks-as-world-leading-startup-hub/" TargetMode="External"/><Relationship Id="rId56" Type="http://schemas.openxmlformats.org/officeDocument/2006/relationships/hyperlink" Target="https://www.agronet.gov.co/Noticias/Paginas/Top20-startups-del-sector-Agrotech-a-tener-en-cuenta-en-2021.aspx" TargetMode="External"/><Relationship Id="rId64" Type="http://schemas.openxmlformats.org/officeDocument/2006/relationships/hyperlink" Target="https://www.suin-juriscol.gov.co/viewDocument.asp?ruta=Decretos/30039844" TargetMode="External"/><Relationship Id="rId69" Type="http://schemas.openxmlformats.org/officeDocument/2006/relationships/hyperlink" Target="https://www.sdp.gov.co/sites/default/files/decretos-conpes/doc_conpes_33_pp_tdecente.pdf" TargetMode="External"/><Relationship Id="rId8" Type="http://schemas.openxmlformats.org/officeDocument/2006/relationships/hyperlink" Target="https://www.hurun.net/en-US/Info/Detail?num=3OEJNGKGFPDS" TargetMode="External"/><Relationship Id="rId51" Type="http://schemas.openxmlformats.org/officeDocument/2006/relationships/hyperlink" Target="https://www.un.org/sustainabledevelopment/es/infrastructure/" TargetMode="External"/><Relationship Id="rId3" Type="http://schemas.openxmlformats.org/officeDocument/2006/relationships/hyperlink" Target="https://www.cdti.es" TargetMode="External"/><Relationship Id="rId12" Type="http://schemas.openxmlformats.org/officeDocument/2006/relationships/hyperlink" Target="https://legislacao.presidencia.gov.br/atos/?tipo=LCP&amp;numero=182&amp;ano=2021&amp;ato=7dbMTUU5UMZpWT177" TargetMode="External"/><Relationship Id="rId17" Type="http://schemas.openxmlformats.org/officeDocument/2006/relationships/hyperlink" Target="https://www.legalparadox.com/post/qu%C3%A9-es-la-ley-fintech-y-c%C3%B3mo-est%C3%A1-transformando-a-m%C3%A9xico" TargetMode="External"/><Relationship Id="rId25" Type="http://schemas.openxmlformats.org/officeDocument/2006/relationships/hyperlink" Target="https://www.semana.com/nacion/bogota/articulo/bogota-fue-premiada-por-sus-procesos-de-desarrollo-tecnologico-en-pro-del-servicio-al-ciudadano/202447/" TargetMode="External"/><Relationship Id="rId33" Type="http://schemas.openxmlformats.org/officeDocument/2006/relationships/hyperlink" Target="https://www.idbinvest.org/en/news-media/idb-invest-promotes-innovation-through-merqueo-investment" TargetMode="External"/><Relationship Id="rId38" Type="http://schemas.openxmlformats.org/officeDocument/2006/relationships/hyperlink" Target="https://contxto.com/en/news/colombian-startup-kravata-raises-3-6-million-for-latin-american-expansion/" TargetMode="External"/><Relationship Id="rId46" Type="http://schemas.openxmlformats.org/officeDocument/2006/relationships/hyperlink" Target="https://docs.google.com/document/d/1QoSvhQNNhHQJpEOR_o-sh9vPaKnbDXwI/edit" TargetMode="External"/><Relationship Id="rId59" Type="http://schemas.openxmlformats.org/officeDocument/2006/relationships/hyperlink" Target="https://newsandviews.vilcap.com/posts/startups/sheltertech/region/andina" TargetMode="External"/><Relationship Id="rId67" Type="http://schemas.openxmlformats.org/officeDocument/2006/relationships/hyperlink" Target="https://www.alcaldiabogota.gov.co/sisjur/normas/Norma1.jsp?i=128339" TargetMode="External"/><Relationship Id="rId20" Type="http://schemas.openxmlformats.org/officeDocument/2006/relationships/hyperlink" Target="https://www.bloomberglinea.com/2022/08/08/cual-sera-el-futuro-de-las-startups-en-colombia-con-la-llegada-de-petro-al-poder/" TargetMode="External"/><Relationship Id="rId41" Type="http://schemas.openxmlformats.org/officeDocument/2006/relationships/hyperlink" Target="https://www2.deloitte.com/co/es/pages/finance/articles/la_industria_fintechenamericalatina.html" TargetMode="External"/><Relationship Id="rId54" Type="http://schemas.openxmlformats.org/officeDocument/2006/relationships/hyperlink" Target="https://www.alcaldiabogota.gov.co/sisjur/normas/Norma1.jsp?i=155699&amp;dt=S" TargetMode="External"/><Relationship Id="rId62" Type="http://schemas.openxmlformats.org/officeDocument/2006/relationships/hyperlink" Target="https://www.suin-juriscol.gov.co/viewDocument.asp?ruta=Leyes/1672727" TargetMode="External"/><Relationship Id="rId70" Type="http://schemas.openxmlformats.org/officeDocument/2006/relationships/hyperlink" Target="https://www.sdp.gov.co/sites/default/files/doc_conpes_d.c._25_pp_productividad_y_competitividad_dc.pdf" TargetMode="External"/><Relationship Id="rId1" Type="http://schemas.openxmlformats.org/officeDocument/2006/relationships/hyperlink" Target="https://accid.org/wp-content/uploads/2021/08/RCD30_Startups_cast-Startup-Concepto-y-ciclo-de-vida.pdf" TargetMode="External"/><Relationship Id="rId6" Type="http://schemas.openxmlformats.org/officeDocument/2006/relationships/hyperlink" Target="https://www.statista.com/chart/19317/highest-valued-startup-companies-in-the-world/" TargetMode="External"/><Relationship Id="rId15" Type="http://schemas.openxmlformats.org/officeDocument/2006/relationships/hyperlink" Target="https://www.bloomberglinea.com.br/2023/04/23/brasil-e-o-pais-da-america-latina-com-o-maior-numero-de-fintechs-ativas/" TargetMode="External"/><Relationship Id="rId23" Type="http://schemas.openxmlformats.org/officeDocument/2006/relationships/hyperlink" Target="https://www.latamrepublic.com/the-top-3-countries-in-latin-america-for-startup-growth" TargetMode="External"/><Relationship Id="rId28" Type="http://schemas.openxmlformats.org/officeDocument/2006/relationships/hyperlink" Target="https://scaleupbog.co/ecosistema/" TargetMode="External"/><Relationship Id="rId36" Type="http://schemas.openxmlformats.org/officeDocument/2006/relationships/hyperlink" Target="https://forbes.co/2023/11/10/emprendedores/las-100-mejores-startups-de-colombia-2023" TargetMode="External"/><Relationship Id="rId49" Type="http://schemas.openxmlformats.org/officeDocument/2006/relationships/hyperlink" Target="https://media.londonandpartners.com/news/london-retains-its-crown-as-a-world-leading-startup-hub" TargetMode="External"/><Relationship Id="rId57" Type="http://schemas.openxmlformats.org/officeDocument/2006/relationships/hyperlink" Target="https://www.elespectador.com/contenido-patrocinado/suyo-formalizando-hogares-para-construir-una-colombia-mejor/" TargetMode="External"/><Relationship Id="rId10" Type="http://schemas.openxmlformats.org/officeDocument/2006/relationships/hyperlink" Target="https://repositorio.comillas.edu/xmlui/bitstream/handle/11531/31245/TFG%20Celada%20Lopez%2C%20Daniel.pdf?sequence=1" TargetMode="External"/><Relationship Id="rId31" Type="http://schemas.openxmlformats.org/officeDocument/2006/relationships/hyperlink" Target="https://www.asilodigital.com/habi-segundo-unicornio-colombia/" TargetMode="External"/><Relationship Id="rId44" Type="http://schemas.openxmlformats.org/officeDocument/2006/relationships/hyperlink" Target="https://www.valoraanalitik.com/capital-summit-nuevas-startups-colombia-america-latina/" TargetMode="External"/><Relationship Id="rId52" Type="http://schemas.openxmlformats.org/officeDocument/2006/relationships/hyperlink" Target="https://www.un.org/sustainabledevelopment/es/cities/" TargetMode="External"/><Relationship Id="rId60" Type="http://schemas.openxmlformats.org/officeDocument/2006/relationships/hyperlink" Target="https://www.ohchr.org/es/instruments-mechanisms/instruments/international-covenant-economic-social-and-cultural-rights" TargetMode="External"/><Relationship Id="rId65" Type="http://schemas.openxmlformats.org/officeDocument/2006/relationships/hyperlink" Target="https://www.alcaldiabogota.gov.co/sisjur/normas/Norma1.jsp?dt=S&amp;i=116186" TargetMode="External"/><Relationship Id="rId4" Type="http://schemas.openxmlformats.org/officeDocument/2006/relationships/hyperlink" Target="https://www.comunidad.madrid/sites/default/files/29_dgae_ficha_practica._que_es_una_starup.pdf" TargetMode="External"/><Relationship Id="rId9" Type="http://schemas.openxmlformats.org/officeDocument/2006/relationships/hyperlink" Target="https://techeconomy.ng/breakdown-of-the-worlds-highest-valued-startups/" TargetMode="External"/><Relationship Id="rId13" Type="http://schemas.openxmlformats.org/officeDocument/2006/relationships/hyperlink" Target="https://repositorio.mctic.gov.br/bitstream/mctic/4796/3/2022_10_19_mcti_boletim_diario.pdf" TargetMode="External"/><Relationship Id="rId18" Type="http://schemas.openxmlformats.org/officeDocument/2006/relationships/hyperlink" Target="https://www.boe.es/boe/dias/2022/12/22/pdfs/BOE-A-2022-21739.pdf" TargetMode="External"/><Relationship Id="rId39" Type="http://schemas.openxmlformats.org/officeDocument/2006/relationships/hyperlink" Target="https://metricas.mx/blog/empresas-fintech-en-america-latina" TargetMode="External"/><Relationship Id="rId34" Type="http://schemas.openxmlformats.org/officeDocument/2006/relationships/hyperlink" Target="https://latamlist.com/ubits-edtech-raises-25m-series-b-for-launch-into-spain/" TargetMode="External"/><Relationship Id="rId50" Type="http://schemas.openxmlformats.org/officeDocument/2006/relationships/hyperlink" Target="https://www.un.org/sustainabledevelopment/es/economic-growth/" TargetMode="External"/><Relationship Id="rId55" Type="http://schemas.openxmlformats.org/officeDocument/2006/relationships/hyperlink" Target="https://ddhhcolombia.org.co/2023/05/24/metas-plan-nacional-de-desarrollo-2022-2026/"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Z8whUjh0MVDqEYABzlKG2WvzYZg==">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66</Pages>
  <Words>15901</Words>
  <Characters>87457</Characters>
  <Application>Microsoft Office Word</Application>
  <DocSecurity>0</DocSecurity>
  <Lines>728</Lines>
  <Paragraphs>206</Paragraphs>
  <ScaleCrop>false</ScaleCrop>
  <Company/>
  <LinksUpToDate>false</LinksUpToDate>
  <CharactersWithSpaces>103152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SERGIO ALEXANDER MARTINEZ LOPEZ</dc:creator>
  <cp:lastModifiedBy>CLAUDIA TERESA SUAREZ NIÑO</cp:lastModifiedBy>
  <cp:revision>2</cp:revision>
  <dcterms:created xsi:type="dcterms:W3CDTF">2024-12-11T16:28:00Z</dcterms:created>
  <dcterms:modified xsi:type="dcterms:W3CDTF">2025-01-10T21:48:00Z</dcterms:modified>
</cp:coreProperties>
</file>